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91C2C">
      <w:pPr>
        <w:pStyle w:val="156"/>
        <w:shd w:val="clear" w:color="auto" w:fill="948A54" w:themeFill="background2" w:themeFillShade="80"/>
        <w:rPr>
          <w:b/>
          <w:color w:val="FFFFFF" w:themeColor="background1"/>
          <w:sz w:val="32"/>
          <w:szCs w:val="32"/>
          <w14:textFill>
            <w14:solidFill>
              <w14:schemeClr w14:val="bg1"/>
            </w14:solidFill>
          </w14:textFill>
        </w:rPr>
      </w:pPr>
      <w:r>
        <w:rPr>
          <w:b/>
          <w:color w:val="FFFFFF" w:themeColor="background1"/>
          <w:sz w:val="28"/>
          <w:szCs w:val="28"/>
          <w14:textFill>
            <w14:solidFill>
              <w14:schemeClr w14:val="bg1"/>
            </w14:solidFill>
          </w14:textFill>
        </w:rPr>
        <w:t>STROBE Statement</w:t>
      </w:r>
      <w:r>
        <w:rPr>
          <w:b/>
          <w:color w:val="FFFFFF" w:themeColor="background1"/>
          <w:sz w:val="32"/>
          <w:szCs w:val="32"/>
          <w14:textFill>
            <w14:solidFill>
              <w14:schemeClr w14:val="bg1"/>
            </w14:solidFill>
          </w14:textFill>
        </w:rPr>
        <w:t>—checklist of items that should be included in reports of observational studies</w:t>
      </w:r>
    </w:p>
    <w:p w14:paraId="541D0FC4">
      <w:pPr>
        <w:pStyle w:val="156"/>
      </w:pPr>
    </w:p>
    <w:tbl>
      <w:tblPr>
        <w:tblStyle w:val="75"/>
        <w:tblW w:w="14992" w:type="dxa"/>
        <w:tblInd w:w="0" w:type="dxa"/>
        <w:tblBorders>
          <w:top w:val="single" w:color="948A54" w:themeColor="background2" w:themeShade="80" w:sz="8" w:space="0"/>
          <w:left w:val="single" w:color="948A54" w:themeColor="background2" w:themeShade="80" w:sz="8" w:space="0"/>
          <w:bottom w:val="single" w:color="948A54" w:themeColor="background2" w:themeShade="80" w:sz="8" w:space="0"/>
          <w:right w:val="single" w:color="948A54" w:themeColor="background2" w:themeShade="80" w:sz="8" w:space="0"/>
          <w:insideH w:val="single" w:color="948A54" w:themeColor="background2" w:themeShade="80" w:sz="8" w:space="0"/>
          <w:insideV w:val="single" w:color="948A54" w:themeColor="background2" w:themeShade="8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16"/>
        <w:gridCol w:w="8031"/>
        <w:gridCol w:w="1559"/>
        <w:gridCol w:w="2835"/>
      </w:tblGrid>
      <w:tr w14:paraId="280523A3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</w:tblPrEx>
        <w:tc>
          <w:tcPr>
            <w:tcW w:w="1951" w:type="dxa"/>
            <w:shd w:val="clear" w:color="auto" w:fill="C3BD96" w:themeFill="background2" w:themeFillShade="BF"/>
          </w:tcPr>
          <w:p w14:paraId="322A096E">
            <w:pPr>
              <w:tabs>
                <w:tab w:val="left" w:pos="5400"/>
              </w:tabs>
              <w:jc w:val="center"/>
              <w:rPr>
                <w:sz w:val="20"/>
              </w:rPr>
            </w:pPr>
            <w:bookmarkStart w:id="0" w:name="bold2" w:colFirst="2" w:colLast="2"/>
            <w:bookmarkStart w:id="1" w:name="bold1" w:colFirst="1" w:colLast="1"/>
            <w:bookmarkStart w:id="2" w:name="italic1" w:colFirst="0" w:colLast="0"/>
            <w:bookmarkStart w:id="3" w:name="bold3" w:colFirst="3" w:colLast="3"/>
            <w:bookmarkStart w:id="4" w:name="italic4" w:colFirst="3" w:colLast="3"/>
            <w:bookmarkStart w:id="5" w:name="italic2" w:colFirst="1" w:colLast="1"/>
            <w:bookmarkStart w:id="6" w:name="italic3" w:colFirst="2" w:colLast="2"/>
            <w:bookmarkStart w:id="7" w:name="italic5" w:colFirst="4" w:colLast="4"/>
            <w:bookmarkStart w:id="8" w:name="bold4" w:colFirst="4" w:colLast="4"/>
          </w:p>
        </w:tc>
        <w:tc>
          <w:tcPr>
            <w:tcW w:w="616" w:type="dxa"/>
            <w:shd w:val="clear" w:color="auto" w:fill="DDD9C4" w:themeFill="background2" w:themeFillShade="E6"/>
          </w:tcPr>
          <w:p w14:paraId="056E3633">
            <w:pPr>
              <w:pStyle w:val="166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Item No.</w:t>
            </w:r>
          </w:p>
        </w:tc>
        <w:tc>
          <w:tcPr>
            <w:tcW w:w="8031" w:type="dxa"/>
            <w:shd w:val="clear" w:color="auto" w:fill="C3BD96" w:themeFill="background2" w:themeFillShade="BF"/>
            <w:vAlign w:val="bottom"/>
          </w:tcPr>
          <w:p w14:paraId="09BF66BB">
            <w:pPr>
              <w:pStyle w:val="166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Recommendation</w:t>
            </w:r>
          </w:p>
        </w:tc>
        <w:tc>
          <w:tcPr>
            <w:tcW w:w="1559" w:type="dxa"/>
            <w:shd w:val="clear" w:color="auto" w:fill="DDD9C4" w:themeFill="background2" w:themeFillShade="E6"/>
          </w:tcPr>
          <w:p w14:paraId="45E6F05E">
            <w:pPr>
              <w:pStyle w:val="166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 xml:space="preserve">Page </w:t>
            </w:r>
            <w:r>
              <w:rPr>
                <w:bCs/>
                <w:sz w:val="20"/>
              </w:rPr>
              <w:br w:type="textWrapping"/>
            </w:r>
            <w:r>
              <w:rPr>
                <w:bCs/>
                <w:sz w:val="20"/>
              </w:rPr>
              <w:t>No.</w:t>
            </w:r>
          </w:p>
        </w:tc>
        <w:tc>
          <w:tcPr>
            <w:tcW w:w="2835" w:type="dxa"/>
            <w:shd w:val="clear" w:color="auto" w:fill="C3BD96" w:themeFill="background2" w:themeFillShade="BF"/>
          </w:tcPr>
          <w:p w14:paraId="5ABA6FF7">
            <w:pPr>
              <w:pStyle w:val="166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Relevant text from manuscript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tr w14:paraId="37E30AE0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shd w:val="clear" w:color="auto" w:fill="DDD9C4" w:themeFill="background2" w:themeFillShade="E6"/>
          </w:tcPr>
          <w:p w14:paraId="6D92DA6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9" w:name="bold5"/>
            <w:bookmarkStart w:id="10" w:name="italic6"/>
            <w:r>
              <w:rPr>
                <w:b/>
                <w:sz w:val="20"/>
              </w:rPr>
              <w:t>Title and abstract</w:t>
            </w:r>
            <w:bookmarkEnd w:id="9"/>
            <w:bookmarkEnd w:id="10"/>
          </w:p>
        </w:tc>
        <w:tc>
          <w:tcPr>
            <w:tcW w:w="616" w:type="dxa"/>
            <w:vMerge w:val="restart"/>
          </w:tcPr>
          <w:p w14:paraId="75CCDFE5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8031" w:type="dxa"/>
          </w:tcPr>
          <w:p w14:paraId="65CB2DF5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a</w:t>
            </w:r>
            <w:r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1559" w:type="dxa"/>
          </w:tcPr>
          <w:p w14:paraId="1876874B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1</w:t>
            </w:r>
          </w:p>
        </w:tc>
        <w:tc>
          <w:tcPr>
            <w:tcW w:w="2835" w:type="dxa"/>
          </w:tcPr>
          <w:p w14:paraId="6D62E306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A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Retrospective Study in Women of Childbearing Age</w:t>
            </w:r>
          </w:p>
        </w:tc>
      </w:tr>
      <w:tr w14:paraId="6D8EB46E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shd w:val="clear" w:color="auto" w:fill="DDD9C4" w:themeFill="background2" w:themeFillShade="E6"/>
          </w:tcPr>
          <w:p w14:paraId="1BD0DCE4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1" w:name="bold6" w:colFirst="0" w:colLast="0"/>
            <w:bookmarkStart w:id="12" w:name="italic7" w:colFirst="0" w:colLast="0"/>
          </w:p>
        </w:tc>
        <w:tc>
          <w:tcPr>
            <w:tcW w:w="616" w:type="dxa"/>
            <w:vMerge w:val="continue"/>
          </w:tcPr>
          <w:p w14:paraId="741E2254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31" w:type="dxa"/>
          </w:tcPr>
          <w:p w14:paraId="2EE7222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b</w:t>
            </w:r>
            <w:r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1559" w:type="dxa"/>
          </w:tcPr>
          <w:p w14:paraId="49F99EC2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1</w:t>
            </w:r>
          </w:p>
        </w:tc>
        <w:tc>
          <w:tcPr>
            <w:tcW w:w="2835" w:type="dxa"/>
          </w:tcPr>
          <w:p w14:paraId="67E0828A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We collected clinical data and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serum samples from 247 women of childbearing age who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underwent pre-pregnancy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fertility assessment at Hainan Women and Children’s Medical Center from January 2022 to June 2024. Serum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samples were collected to assess the levels of PFAS.</w:t>
            </w:r>
          </w:p>
        </w:tc>
      </w:tr>
      <w:bookmarkEnd w:id="11"/>
      <w:bookmarkEnd w:id="12"/>
      <w:tr w14:paraId="3F8C2C82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7" w:type="dxa"/>
            <w:gridSpan w:val="4"/>
            <w:shd w:val="clear" w:color="auto" w:fill="948A54" w:themeFill="background2" w:themeFillShade="80"/>
          </w:tcPr>
          <w:p w14:paraId="33AFE4C4">
            <w:pPr>
              <w:pStyle w:val="168"/>
              <w:tabs>
                <w:tab w:val="left" w:pos="5400"/>
              </w:tabs>
              <w:rPr>
                <w:sz w:val="22"/>
                <w:szCs w:val="22"/>
              </w:rPr>
            </w:pPr>
            <w:bookmarkStart w:id="13" w:name="bold7"/>
            <w:bookmarkStart w:id="14" w:name="italic8"/>
            <w:r>
              <w:rPr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  <w:t>Introduction</w:t>
            </w:r>
          </w:p>
          <w:bookmarkEnd w:id="13"/>
          <w:bookmarkEnd w:id="14"/>
        </w:tc>
        <w:tc>
          <w:tcPr>
            <w:tcW w:w="2835" w:type="dxa"/>
            <w:shd w:val="clear" w:color="auto" w:fill="948A54" w:themeFill="background2" w:themeFillShade="80"/>
          </w:tcPr>
          <w:p w14:paraId="48ADFF3F">
            <w:pPr>
              <w:pStyle w:val="168"/>
              <w:tabs>
                <w:tab w:val="left" w:pos="5400"/>
              </w:tabs>
              <w:rPr>
                <w:sz w:val="20"/>
              </w:rPr>
            </w:pPr>
          </w:p>
        </w:tc>
      </w:tr>
      <w:tr w14:paraId="5FD8568A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DDD9C4" w:themeFill="background2" w:themeFillShade="E6"/>
          </w:tcPr>
          <w:p w14:paraId="5F1CB7D8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5" w:name="bold8"/>
            <w:bookmarkStart w:id="16" w:name="italic9"/>
            <w:r>
              <w:rPr>
                <w:bCs/>
                <w:sz w:val="20"/>
              </w:rPr>
              <w:t>Background/</w:t>
            </w:r>
            <w:bookmarkEnd w:id="15"/>
            <w:bookmarkEnd w:id="16"/>
            <w:bookmarkStart w:id="17" w:name="italic10"/>
            <w:bookmarkStart w:id="18" w:name="bold9"/>
            <w:r>
              <w:rPr>
                <w:bCs/>
                <w:sz w:val="20"/>
              </w:rPr>
              <w:t>rationale</w:t>
            </w:r>
            <w:bookmarkEnd w:id="17"/>
            <w:bookmarkEnd w:id="18"/>
          </w:p>
        </w:tc>
        <w:tc>
          <w:tcPr>
            <w:tcW w:w="616" w:type="dxa"/>
            <w:shd w:val="clear" w:color="auto" w:fill="DDD9C4" w:themeFill="background2" w:themeFillShade="E6"/>
          </w:tcPr>
          <w:p w14:paraId="0C107066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8031" w:type="dxa"/>
          </w:tcPr>
          <w:p w14:paraId="1F98427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1559" w:type="dxa"/>
          </w:tcPr>
          <w:p w14:paraId="65DB4DCF">
            <w:pPr>
              <w:tabs>
                <w:tab w:val="left" w:pos="5400"/>
              </w:tabs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4DE3B5B2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PFAS persist in both the environment and biologi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cal organisms. Although some alternatives to PFAS have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shorter half-lives in humans, they remain highly persis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tent in the environment, thereby posing ongoing exposure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risks. Between 2016 and 2021, concentrations of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PFOS, PFBS, and HFPO-DA in rivers and lakes across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China exhibited an upward trend. Recent national</w:t>
            </w:r>
          </w:p>
          <w:p w14:paraId="2E683F81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water quality surveys indicate that levels of short-chain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PFAS, particularly PFBA and PFBS, in water bodies are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significantly higher than those of PFOA and PFOS.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Endocrine glands secrete hormones that regulate normal</w:t>
            </w:r>
          </w:p>
          <w:p w14:paraId="6DB57F64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growth, fertility, and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 xml:space="preserve">reproduction in humans. 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Numerous studies have demonstrated that PFAS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exposure can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impair endocrine function and reproductive ealth.</w:t>
            </w:r>
          </w:p>
          <w:p w14:paraId="35C2801C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Regarding the reproductive system, PFAS have the potential to interfere with endogenous hormone metabolism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and the synthesis or secretion of steroid hormones, in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cluding estradiol, progesterone, total testosterone, luteinizing hormone, and follicle-stimulating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hormone.</w:t>
            </w:r>
          </w:p>
        </w:tc>
      </w:tr>
      <w:tr w14:paraId="206F3D8C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C3BD96" w:themeFill="background2" w:themeFillShade="BF"/>
          </w:tcPr>
          <w:p w14:paraId="58F210CD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9" w:name="bold10" w:colFirst="0" w:colLast="0"/>
            <w:bookmarkStart w:id="20" w:name="italic11" w:colFirst="0" w:colLast="0"/>
            <w:r>
              <w:rPr>
                <w:bCs/>
                <w:sz w:val="20"/>
              </w:rPr>
              <w:t>Objectives</w:t>
            </w:r>
          </w:p>
        </w:tc>
        <w:tc>
          <w:tcPr>
            <w:tcW w:w="616" w:type="dxa"/>
          </w:tcPr>
          <w:p w14:paraId="5EC8DDC6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8031" w:type="dxa"/>
          </w:tcPr>
          <w:p w14:paraId="7C698385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1559" w:type="dxa"/>
          </w:tcPr>
          <w:p w14:paraId="08BF8583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182B8E34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This research aims to validate the correlation</w:t>
            </w:r>
          </w:p>
          <w:p w14:paraId="272F76D3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between exposure to both traditional and emerging PFAS</w:t>
            </w:r>
          </w:p>
          <w:p w14:paraId="3320337F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and reproductive hormones through population-based in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vestigations.</w:t>
            </w:r>
          </w:p>
        </w:tc>
      </w:tr>
      <w:bookmarkEnd w:id="19"/>
      <w:bookmarkEnd w:id="20"/>
      <w:tr w14:paraId="4790D70E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157" w:type="dxa"/>
            <w:gridSpan w:val="4"/>
            <w:shd w:val="clear" w:color="auto" w:fill="948A54" w:themeFill="background2" w:themeFillShade="80"/>
          </w:tcPr>
          <w:p w14:paraId="01D1BAC2">
            <w:pPr>
              <w:pStyle w:val="168"/>
              <w:tabs>
                <w:tab w:val="left" w:pos="5400"/>
              </w:tabs>
              <w:rPr>
                <w:sz w:val="22"/>
                <w:szCs w:val="22"/>
              </w:rPr>
            </w:pPr>
            <w:bookmarkStart w:id="21" w:name="italic12"/>
            <w:bookmarkStart w:id="22" w:name="bold11"/>
            <w:r>
              <w:rPr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  <w:t>Methods</w:t>
            </w:r>
          </w:p>
          <w:bookmarkEnd w:id="21"/>
          <w:bookmarkEnd w:id="22"/>
        </w:tc>
        <w:tc>
          <w:tcPr>
            <w:tcW w:w="2835" w:type="dxa"/>
            <w:shd w:val="clear" w:color="auto" w:fill="948A54" w:themeFill="background2" w:themeFillShade="80"/>
          </w:tcPr>
          <w:p w14:paraId="6B6627F7">
            <w:pPr>
              <w:pStyle w:val="168"/>
              <w:tabs>
                <w:tab w:val="left" w:pos="5400"/>
              </w:tabs>
              <w:rPr>
                <w:sz w:val="20"/>
              </w:rPr>
            </w:pPr>
          </w:p>
        </w:tc>
      </w:tr>
      <w:tr w14:paraId="1C05786C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C3BD96" w:themeFill="background2" w:themeFillShade="BF"/>
          </w:tcPr>
          <w:p w14:paraId="31405AFE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2" w:colFirst="0" w:colLast="0"/>
            <w:bookmarkStart w:id="24" w:name="italic13" w:colFirst="0" w:colLast="0"/>
            <w:r>
              <w:rPr>
                <w:bCs/>
                <w:sz w:val="20"/>
              </w:rPr>
              <w:t>Study design</w:t>
            </w:r>
          </w:p>
        </w:tc>
        <w:tc>
          <w:tcPr>
            <w:tcW w:w="616" w:type="dxa"/>
          </w:tcPr>
          <w:p w14:paraId="62224FF5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8031" w:type="dxa"/>
          </w:tcPr>
          <w:p w14:paraId="7465350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Present key elements of study design early in the paper</w:t>
            </w:r>
          </w:p>
        </w:tc>
        <w:tc>
          <w:tcPr>
            <w:tcW w:w="1559" w:type="dxa"/>
          </w:tcPr>
          <w:p w14:paraId="56A927D0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35C2FC49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The inclusion criteria for all participants were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as follows: (1) age between 20 and 35 years; (2) no his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tory of chronic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diseases, endocrine disorders, tumors, au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toimmune diseases, or active infections; and (3) provision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of informed consent to participate in the study. The exclu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sion criteria were as follows: (1) individuals with incom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plete clinical information or missing samples; and (2) those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who were pregnant, breastfeeding, or had a history of in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fertility.</w:t>
            </w:r>
          </w:p>
        </w:tc>
      </w:tr>
      <w:bookmarkEnd w:id="23"/>
      <w:bookmarkEnd w:id="24"/>
      <w:tr w14:paraId="2B92A0B5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DDD9C4" w:themeFill="background2" w:themeFillShade="E6"/>
          </w:tcPr>
          <w:p w14:paraId="2841EB31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italic14" w:colFirst="0" w:colLast="0"/>
            <w:bookmarkStart w:id="26" w:name="bold13" w:colFirst="0" w:colLast="0"/>
            <w:r>
              <w:rPr>
                <w:bCs/>
                <w:sz w:val="20"/>
              </w:rPr>
              <w:t>Setting</w:t>
            </w:r>
          </w:p>
        </w:tc>
        <w:tc>
          <w:tcPr>
            <w:tcW w:w="616" w:type="dxa"/>
          </w:tcPr>
          <w:p w14:paraId="36B7032D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8031" w:type="dxa"/>
          </w:tcPr>
          <w:p w14:paraId="184658D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1559" w:type="dxa"/>
          </w:tcPr>
          <w:p w14:paraId="56FF75EF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6D01B033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The study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was conducted in strict accordance with the principles of the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Declaration of Helsinki. Clinical data and serum samples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were collected from 247 women of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reproductive age who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underwent preconception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fertility evaluation at the Hainan</w:t>
            </w:r>
          </w:p>
          <w:p w14:paraId="67E722AF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Women and Children’s Medical Center from January 2022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to June 2024.</w:t>
            </w:r>
          </w:p>
        </w:tc>
      </w:tr>
      <w:bookmarkEnd w:id="25"/>
      <w:bookmarkEnd w:id="26"/>
      <w:tr w14:paraId="58EE7D65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  <w:shd w:val="clear" w:color="auto" w:fill="C3BD96" w:themeFill="background2" w:themeFillShade="BF"/>
          </w:tcPr>
          <w:p w14:paraId="282710B2">
            <w:pPr>
              <w:tabs>
                <w:tab w:val="left" w:pos="5400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>Participants</w:t>
            </w:r>
          </w:p>
        </w:tc>
        <w:tc>
          <w:tcPr>
            <w:tcW w:w="616" w:type="dxa"/>
            <w:vMerge w:val="restart"/>
          </w:tcPr>
          <w:p w14:paraId="520B993A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8031" w:type="dxa"/>
          </w:tcPr>
          <w:p w14:paraId="39B500B0">
            <w:pPr>
              <w:pStyle w:val="219"/>
              <w:numPr>
                <w:ilvl w:val="0"/>
                <w:numId w:val="16"/>
              </w:numPr>
              <w:tabs>
                <w:tab w:val="left" w:pos="5400"/>
              </w:tabs>
              <w:rPr>
                <w:sz w:val="20"/>
              </w:rPr>
            </w:pPr>
            <w:r>
              <w:rPr>
                <w:b/>
                <w:i/>
                <w:sz w:val="20"/>
              </w:rPr>
              <w:t>Cohort study</w:t>
            </w:r>
            <w:r>
              <w:rPr>
                <w:sz w:val="20"/>
              </w:rPr>
              <w:t>—Give the eligibility criteria, and the sources and methods of selection of participants. Describe methods of follow-up</w:t>
            </w:r>
          </w:p>
          <w:p w14:paraId="550611AB">
            <w:pPr>
              <w:pStyle w:val="219"/>
              <w:numPr>
                <w:ilvl w:val="0"/>
                <w:numId w:val="16"/>
              </w:numPr>
              <w:tabs>
                <w:tab w:val="left" w:pos="5400"/>
              </w:tabs>
              <w:rPr>
                <w:sz w:val="20"/>
              </w:rPr>
            </w:pPr>
            <w:r>
              <w:rPr>
                <w:b/>
                <w:i/>
                <w:sz w:val="20"/>
              </w:rPr>
              <w:t>Case-control study</w:t>
            </w:r>
            <w:r>
              <w:rPr>
                <w:sz w:val="20"/>
              </w:rPr>
              <w:t>—Give the eligibility criteria, and the sources and methods of case ascertainment and control selection. Give the rationale for the choice of cases and controls</w:t>
            </w:r>
          </w:p>
          <w:p w14:paraId="7B3EEBC3">
            <w:pPr>
              <w:pStyle w:val="219"/>
              <w:numPr>
                <w:ilvl w:val="0"/>
                <w:numId w:val="16"/>
              </w:numPr>
              <w:tabs>
                <w:tab w:val="left" w:pos="5400"/>
              </w:tabs>
              <w:rPr>
                <w:sz w:val="20"/>
              </w:rPr>
            </w:pPr>
            <w:r>
              <w:rPr>
                <w:b/>
                <w:i/>
                <w:sz w:val="20"/>
              </w:rPr>
              <w:t>Cross-sectional study</w:t>
            </w:r>
            <w:r>
              <w:rPr>
                <w:sz w:val="20"/>
              </w:rPr>
              <w:t>—Give the eligibility criteria, and the sources and methods of selection of participants</w:t>
            </w:r>
          </w:p>
        </w:tc>
        <w:tc>
          <w:tcPr>
            <w:tcW w:w="1559" w:type="dxa"/>
          </w:tcPr>
          <w:p w14:paraId="17F4DEE4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26F31C50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The inclusion criteria for all participants were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as follows: (1) age between 20 and 35 years; (2) no history of chronic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diseases, endocrine disorders, tumors, autoimmune diseases, or active infections; and (3) provision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 xml:space="preserve">of informed consent to participate in the study. </w:t>
            </w:r>
          </w:p>
        </w:tc>
      </w:tr>
      <w:tr w14:paraId="42C73A51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  <w:shd w:val="clear" w:color="auto" w:fill="C3BD96" w:themeFill="background2" w:themeFillShade="BF"/>
          </w:tcPr>
          <w:p w14:paraId="7EA5C255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4" w:colFirst="0" w:colLast="0"/>
            <w:bookmarkStart w:id="28" w:name="italic15" w:colFirst="0" w:colLast="0"/>
          </w:p>
        </w:tc>
        <w:tc>
          <w:tcPr>
            <w:tcW w:w="616" w:type="dxa"/>
            <w:vMerge w:val="continue"/>
          </w:tcPr>
          <w:p w14:paraId="2070FABF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031" w:type="dxa"/>
          </w:tcPr>
          <w:p w14:paraId="2E86EFFC">
            <w:pPr>
              <w:pStyle w:val="219"/>
              <w:numPr>
                <w:ilvl w:val="0"/>
                <w:numId w:val="16"/>
              </w:numPr>
              <w:tabs>
                <w:tab w:val="left" w:pos="5400"/>
              </w:tabs>
              <w:rPr>
                <w:sz w:val="20"/>
              </w:rPr>
            </w:pPr>
            <w:r>
              <w:rPr>
                <w:b/>
                <w:bCs/>
                <w:i/>
                <w:sz w:val="20"/>
              </w:rPr>
              <w:t>Cohort study</w:t>
            </w:r>
            <w:r>
              <w:rPr>
                <w:sz w:val="20"/>
              </w:rPr>
              <w:t>—For matched studies, give matching criteria and number of exposed and unexposed</w:t>
            </w:r>
          </w:p>
          <w:p w14:paraId="76CF6C5E">
            <w:pPr>
              <w:pStyle w:val="219"/>
              <w:numPr>
                <w:ilvl w:val="0"/>
                <w:numId w:val="16"/>
              </w:num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b/>
                <w:bCs/>
                <w:i/>
                <w:sz w:val="20"/>
              </w:rPr>
              <w:t>Case-control study</w:t>
            </w:r>
            <w:r>
              <w:rPr>
                <w:sz w:val="20"/>
              </w:rPr>
              <w:t>—For matched studies, give matching criteria and the number of controls per case</w:t>
            </w:r>
          </w:p>
        </w:tc>
        <w:tc>
          <w:tcPr>
            <w:tcW w:w="1559" w:type="dxa"/>
          </w:tcPr>
          <w:p w14:paraId="6F3E8BCB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256CD306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Clinical data and serum samples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were collected from 247 women of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reproductive age who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underwent preconception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fertility evaluation at the Hainan</w:t>
            </w:r>
          </w:p>
          <w:p w14:paraId="38BDAA76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Women and Children’s Medical Center from January 2022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to June 2024.</w:t>
            </w:r>
          </w:p>
        </w:tc>
      </w:tr>
      <w:bookmarkEnd w:id="27"/>
      <w:bookmarkEnd w:id="28"/>
      <w:tr w14:paraId="4A3EE3AD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DDD9C4" w:themeFill="background2" w:themeFillShade="E6"/>
          </w:tcPr>
          <w:p w14:paraId="32F3494C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italic17" w:colFirst="0" w:colLast="0"/>
            <w:bookmarkStart w:id="30" w:name="bold16" w:colFirst="0" w:colLast="0"/>
            <w:r>
              <w:rPr>
                <w:bCs/>
                <w:sz w:val="20"/>
              </w:rPr>
              <w:t>Variables</w:t>
            </w:r>
          </w:p>
        </w:tc>
        <w:tc>
          <w:tcPr>
            <w:tcW w:w="616" w:type="dxa"/>
          </w:tcPr>
          <w:p w14:paraId="2A6ADDF3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8031" w:type="dxa"/>
          </w:tcPr>
          <w:p w14:paraId="209A260D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1559" w:type="dxa"/>
          </w:tcPr>
          <w:p w14:paraId="4F88507D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3</w:t>
            </w:r>
          </w:p>
        </w:tc>
        <w:tc>
          <w:tcPr>
            <w:tcW w:w="2835" w:type="dxa"/>
          </w:tcPr>
          <w:p w14:paraId="08A6E1C8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All regression analyses were</w:t>
            </w:r>
          </w:p>
          <w:p w14:paraId="003A0FAB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adjusted for various general characteristics, including age,</w:t>
            </w:r>
          </w:p>
          <w:p w14:paraId="56E2861D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BMI, age at menarche, number of pregnancies, menstrual</w:t>
            </w:r>
          </w:p>
          <w:p w14:paraId="4E43143B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cycle irregularity, education, and income level.</w:t>
            </w:r>
          </w:p>
        </w:tc>
      </w:tr>
      <w:bookmarkEnd w:id="29"/>
      <w:bookmarkEnd w:id="30"/>
      <w:tr w14:paraId="0C38333F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1951" w:type="dxa"/>
            <w:shd w:val="clear" w:color="auto" w:fill="C3BD96" w:themeFill="background2" w:themeFillShade="BF"/>
          </w:tcPr>
          <w:p w14:paraId="7E1BC7A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1" w:name="bold17"/>
            <w:bookmarkStart w:id="32" w:name="italic18"/>
            <w:r>
              <w:rPr>
                <w:bCs/>
                <w:sz w:val="20"/>
              </w:rPr>
              <w:t>Data sources/</w:t>
            </w:r>
            <w:bookmarkEnd w:id="31"/>
            <w:bookmarkEnd w:id="32"/>
            <w:bookmarkStart w:id="33" w:name="bold18"/>
            <w:bookmarkStart w:id="34" w:name="italic19"/>
            <w:r>
              <w:rPr>
                <w:bCs/>
                <w:sz w:val="20"/>
              </w:rPr>
              <w:t xml:space="preserve"> measurement</w:t>
            </w:r>
            <w:bookmarkEnd w:id="33"/>
            <w:bookmarkEnd w:id="34"/>
          </w:p>
        </w:tc>
        <w:tc>
          <w:tcPr>
            <w:tcW w:w="616" w:type="dxa"/>
          </w:tcPr>
          <w:p w14:paraId="613BB160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  <w:bookmarkStart w:id="35" w:name="bold19"/>
            <w:r>
              <w:rPr>
                <w:bCs/>
                <w:sz w:val="20"/>
              </w:rPr>
              <w:t>*</w:t>
            </w:r>
            <w:bookmarkEnd w:id="35"/>
          </w:p>
        </w:tc>
        <w:tc>
          <w:tcPr>
            <w:tcW w:w="8031" w:type="dxa"/>
          </w:tcPr>
          <w:p w14:paraId="6B88B180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i/>
                <w:sz w:val="20"/>
              </w:rPr>
              <w:t xml:space="preserve"> </w:t>
            </w:r>
            <w:r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1559" w:type="dxa"/>
          </w:tcPr>
          <w:p w14:paraId="6E6D36B4">
            <w:pPr>
              <w:tabs>
                <w:tab w:val="left" w:pos="5400"/>
              </w:tabs>
              <w:rPr>
                <w:rFonts w:hint="eastAsia" w:eastAsia="宋体"/>
                <w:i/>
                <w:sz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lang w:val="en-US" w:eastAsia="zh-CN"/>
              </w:rPr>
              <w:t>3</w:t>
            </w:r>
          </w:p>
        </w:tc>
        <w:tc>
          <w:tcPr>
            <w:tcW w:w="2835" w:type="dxa"/>
          </w:tcPr>
          <w:p w14:paraId="54D2F5A7">
            <w:pPr>
              <w:tabs>
                <w:tab w:val="left" w:pos="5400"/>
              </w:tabs>
              <w:jc w:val="both"/>
              <w:rPr>
                <w:rFonts w:hint="eastAsia" w:eastAsia="宋体"/>
                <w:i/>
                <w:sz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</w:rPr>
              <w:t>Methods for measuring PFAS were adapted from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existing literature</w:t>
            </w:r>
            <w:r>
              <w:rPr>
                <w:rFonts w:hint="eastAsia"/>
                <w:color w:val="000000"/>
                <w:sz w:val="20"/>
                <w:lang w:val="en-US" w:eastAsia="zh-CN"/>
              </w:rPr>
              <w:t>.</w:t>
            </w:r>
          </w:p>
        </w:tc>
      </w:tr>
      <w:tr w14:paraId="13201636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DDD9C4" w:themeFill="background2" w:themeFillShade="E6"/>
          </w:tcPr>
          <w:p w14:paraId="1ABC3BDE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6" w:name="bold20" w:colFirst="0" w:colLast="0"/>
            <w:bookmarkStart w:id="37" w:name="italic20" w:colFirst="0" w:colLast="0"/>
            <w:r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616" w:type="dxa"/>
          </w:tcPr>
          <w:p w14:paraId="5A508D4E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8031" w:type="dxa"/>
          </w:tcPr>
          <w:p w14:paraId="1B4A2AE4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1559" w:type="dxa"/>
          </w:tcPr>
          <w:p w14:paraId="2C16EF3C">
            <w:pPr>
              <w:tabs>
                <w:tab w:val="left" w:pos="5400"/>
              </w:tabs>
              <w:rPr>
                <w:rFonts w:hint="eastAsia" w:eastAsia="宋体"/>
                <w:color w:val="000000"/>
                <w:sz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lang w:val="en-US" w:eastAsia="zh-CN"/>
              </w:rPr>
              <w:t>3</w:t>
            </w:r>
          </w:p>
        </w:tc>
        <w:tc>
          <w:tcPr>
            <w:tcW w:w="2835" w:type="dxa"/>
          </w:tcPr>
          <w:p w14:paraId="3CCC9F35">
            <w:pPr>
              <w:tabs>
                <w:tab w:val="left" w:pos="5400"/>
              </w:tabs>
              <w:jc w:val="both"/>
              <w:rPr>
                <w:color w:val="000000"/>
                <w:sz w:val="20"/>
              </w:rPr>
            </w:pPr>
            <w:r>
              <w:rPr>
                <w:rFonts w:hint="eastAsia"/>
                <w:color w:val="000000"/>
                <w:sz w:val="20"/>
              </w:rPr>
              <w:t>To man</w:t>
            </w:r>
            <w:r>
              <w:rPr>
                <w:rFonts w:hint="eastAsia"/>
                <w:color w:val="000000"/>
                <w:sz w:val="20"/>
              </w:rPr>
              <w:t/>
            </w:r>
            <w:r>
              <w:rPr>
                <w:rFonts w:hint="eastAsia"/>
                <w:color w:val="000000"/>
                <w:sz w:val="20"/>
              </w:rPr>
              <w:t>age the risk of false positives from multiple comparisons</w:t>
            </w:r>
            <w:r>
              <w:rPr>
                <w:rFonts w:hint="eastAsia" w:eastAsia="宋体"/>
                <w:color w:val="000000"/>
                <w:sz w:val="20"/>
                <w:lang w:val="en-US" w:eastAsia="zh-CN"/>
              </w:rPr>
              <w:t xml:space="preserve">, </w:t>
            </w:r>
            <w:r>
              <w:rPr>
                <w:rFonts w:hint="eastAsia"/>
                <w:color w:val="000000"/>
                <w:sz w:val="20"/>
              </w:rPr>
              <w:t>we used the Benjamini-Hochberg (BH) method to control</w:t>
            </w:r>
            <w:r>
              <w:rPr>
                <w:rFonts w:hint="eastAsia" w:eastAsia="宋体"/>
                <w:color w:val="000000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</w:rPr>
              <w:t>for the false discovery rate.</w:t>
            </w:r>
          </w:p>
        </w:tc>
      </w:tr>
      <w:bookmarkEnd w:id="36"/>
      <w:bookmarkEnd w:id="37"/>
      <w:tr w14:paraId="487EB3DB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shd w:val="clear" w:color="auto" w:fill="C3BD96" w:themeFill="background2" w:themeFillShade="BF"/>
          </w:tcPr>
          <w:p w14:paraId="776D07C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1" w:colFirst="0" w:colLast="0"/>
            <w:bookmarkStart w:id="39" w:name="italic21" w:colFirst="0" w:colLast="0"/>
            <w:r>
              <w:rPr>
                <w:bCs/>
                <w:sz w:val="20"/>
              </w:rPr>
              <w:t>Study size</w:t>
            </w:r>
          </w:p>
        </w:tc>
        <w:tc>
          <w:tcPr>
            <w:tcW w:w="616" w:type="dxa"/>
          </w:tcPr>
          <w:p w14:paraId="4931D9A3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8031" w:type="dxa"/>
          </w:tcPr>
          <w:p w14:paraId="15C68FBE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Explain how the study size was arrived at</w:t>
            </w:r>
          </w:p>
        </w:tc>
        <w:tc>
          <w:tcPr>
            <w:tcW w:w="1559" w:type="dxa"/>
          </w:tcPr>
          <w:p w14:paraId="1572B05D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2835" w:type="dxa"/>
          </w:tcPr>
          <w:p w14:paraId="7E2EBF28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Clinical data and serum samples were collected from 247 women of reproductive age who underwent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preconception fertility evaluation at the Hainan</w:t>
            </w:r>
          </w:p>
          <w:p w14:paraId="344CD770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Women and Children’s Medical Center from January 2022 to June 2024.</w:t>
            </w:r>
          </w:p>
        </w:tc>
      </w:tr>
      <w:bookmarkEnd w:id="38"/>
      <w:bookmarkEnd w:id="39"/>
    </w:tbl>
    <w:p w14:paraId="07184D30">
      <w:bookmarkStart w:id="40" w:name="bold22"/>
      <w:bookmarkStart w:id="41" w:name="italic22"/>
    </w:p>
    <w:tbl>
      <w:tblPr>
        <w:tblStyle w:val="75"/>
        <w:tblW w:w="14992" w:type="dxa"/>
        <w:tblInd w:w="0" w:type="dxa"/>
        <w:tblBorders>
          <w:top w:val="single" w:color="948A54" w:themeColor="background2" w:themeShade="80" w:sz="8" w:space="0"/>
          <w:left w:val="single" w:color="948A54" w:themeColor="background2" w:themeShade="80" w:sz="8" w:space="0"/>
          <w:bottom w:val="single" w:color="948A54" w:themeColor="background2" w:themeShade="80" w:sz="8" w:space="0"/>
          <w:right w:val="single" w:color="948A54" w:themeColor="background2" w:themeShade="80" w:sz="8" w:space="0"/>
          <w:insideH w:val="single" w:color="948A54" w:themeColor="background2" w:themeShade="80" w:sz="8" w:space="0"/>
          <w:insideV w:val="single" w:color="948A54" w:themeColor="background2" w:themeShade="80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1"/>
        <w:gridCol w:w="416"/>
        <w:gridCol w:w="358"/>
        <w:gridCol w:w="8309"/>
        <w:gridCol w:w="1262"/>
        <w:gridCol w:w="11"/>
        <w:gridCol w:w="3115"/>
      </w:tblGrid>
      <w:tr w14:paraId="415F6D6B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shd w:val="clear" w:color="auto" w:fill="DDD9C4" w:themeFill="background2" w:themeFillShade="E6"/>
          </w:tcPr>
          <w:p w14:paraId="742C4638">
            <w:pPr>
              <w:tabs>
                <w:tab w:val="left" w:pos="5400"/>
              </w:tabs>
              <w:rPr>
                <w:bCs/>
                <w:sz w:val="20"/>
              </w:rPr>
            </w:pPr>
            <w:r>
              <w:rPr>
                <w:bCs/>
                <w:sz w:val="20"/>
              </w:rPr>
              <w:t>Quantitative</w:t>
            </w:r>
            <w:bookmarkEnd w:id="40"/>
            <w:bookmarkEnd w:id="41"/>
            <w:bookmarkStart w:id="42" w:name="italic23"/>
            <w:bookmarkStart w:id="43" w:name="bold23"/>
            <w:r>
              <w:rPr>
                <w:bCs/>
                <w:sz w:val="20"/>
              </w:rPr>
              <w:t xml:space="preserve"> variables</w:t>
            </w:r>
            <w:bookmarkEnd w:id="42"/>
            <w:bookmarkEnd w:id="43"/>
          </w:p>
        </w:tc>
        <w:tc>
          <w:tcPr>
            <w:tcW w:w="774" w:type="dxa"/>
            <w:gridSpan w:val="2"/>
          </w:tcPr>
          <w:p w14:paraId="6B63AF0D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8309" w:type="dxa"/>
          </w:tcPr>
          <w:p w14:paraId="4CF4056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1273" w:type="dxa"/>
            <w:gridSpan w:val="2"/>
          </w:tcPr>
          <w:p w14:paraId="2C505A1B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3</w:t>
            </w:r>
          </w:p>
        </w:tc>
        <w:tc>
          <w:tcPr>
            <w:tcW w:w="3115" w:type="dxa"/>
          </w:tcPr>
          <w:p w14:paraId="70CF9506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Mean values are expressed as the mean ± standard de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viation (SD), while medians are presented as interquartile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ranges (IQR). Categorical data are described using counts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and percentages.</w:t>
            </w:r>
          </w:p>
        </w:tc>
      </w:tr>
      <w:tr w14:paraId="36DDC22D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Merge w:val="restart"/>
            <w:shd w:val="clear" w:color="auto" w:fill="C3BD96" w:themeFill="background2" w:themeFillShade="BF"/>
          </w:tcPr>
          <w:p w14:paraId="02794A26">
            <w:pPr>
              <w:tabs>
                <w:tab w:val="left" w:pos="5400"/>
              </w:tabs>
              <w:rPr>
                <w:sz w:val="20"/>
              </w:rPr>
            </w:pPr>
            <w:bookmarkStart w:id="44" w:name="italic24"/>
            <w:r>
              <w:rPr>
                <w:sz w:val="20"/>
              </w:rPr>
              <w:t>Statistical</w:t>
            </w:r>
            <w:bookmarkEnd w:id="44"/>
            <w:bookmarkStart w:id="45" w:name="italic25"/>
            <w:r>
              <w:rPr>
                <w:sz w:val="20"/>
              </w:rPr>
              <w:t xml:space="preserve"> methods</w:t>
            </w:r>
            <w:bookmarkEnd w:id="45"/>
          </w:p>
        </w:tc>
        <w:tc>
          <w:tcPr>
            <w:tcW w:w="774" w:type="dxa"/>
            <w:gridSpan w:val="2"/>
            <w:vMerge w:val="restart"/>
          </w:tcPr>
          <w:p w14:paraId="7241641D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8309" w:type="dxa"/>
          </w:tcPr>
          <w:p w14:paraId="7F8DEE1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a</w:t>
            </w:r>
            <w:r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1273" w:type="dxa"/>
            <w:gridSpan w:val="2"/>
          </w:tcPr>
          <w:p w14:paraId="185AFDF8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3</w:t>
            </w:r>
          </w:p>
        </w:tc>
        <w:tc>
          <w:tcPr>
            <w:tcW w:w="3115" w:type="dxa"/>
          </w:tcPr>
          <w:p w14:paraId="0510795B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PFAS concentrations are reported as me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dians and have been transformed with the natural loga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rithm to reduce skewness for subsequent analyses. Spear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man correlation coefficients were calculated to assess the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relationships among PFAS concentrations. Multiple linear regression models were used to examine the association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between individual PFAS exposure and reproductive hor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 xml:space="preserve">mones. </w:t>
            </w:r>
          </w:p>
        </w:tc>
      </w:tr>
      <w:tr w14:paraId="73C7BB8E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Merge w:val="continue"/>
            <w:shd w:val="clear" w:color="auto" w:fill="C3BD96" w:themeFill="background2" w:themeFillShade="BF"/>
          </w:tcPr>
          <w:p w14:paraId="01A25C1D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4" w:colFirst="0" w:colLast="0"/>
            <w:bookmarkStart w:id="47" w:name="italic26" w:colFirst="0" w:colLast="0"/>
          </w:p>
        </w:tc>
        <w:tc>
          <w:tcPr>
            <w:tcW w:w="774" w:type="dxa"/>
            <w:gridSpan w:val="2"/>
            <w:vMerge w:val="continue"/>
          </w:tcPr>
          <w:p w14:paraId="6860D956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151D1B92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b</w:t>
            </w:r>
            <w:r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1273" w:type="dxa"/>
            <w:gridSpan w:val="2"/>
          </w:tcPr>
          <w:p w14:paraId="5BE29813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3</w:t>
            </w:r>
          </w:p>
        </w:tc>
        <w:tc>
          <w:tcPr>
            <w:tcW w:w="3115" w:type="dxa"/>
          </w:tcPr>
          <w:p w14:paraId="15FF65C0">
            <w:pPr>
              <w:tabs>
                <w:tab w:val="left" w:pos="5400"/>
              </w:tabs>
              <w:jc w:val="both"/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</w:rPr>
              <w:t>Multiple linear regression models were used to examine the association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between individual PFAS exposure and reproductive hor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mones.</w:t>
            </w:r>
          </w:p>
        </w:tc>
      </w:tr>
      <w:bookmarkEnd w:id="46"/>
      <w:bookmarkEnd w:id="47"/>
      <w:tr w14:paraId="5F95DBC5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Merge w:val="continue"/>
            <w:shd w:val="clear" w:color="auto" w:fill="C3BD96" w:themeFill="background2" w:themeFillShade="BF"/>
          </w:tcPr>
          <w:p w14:paraId="46E92C80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5" w:colFirst="0" w:colLast="0"/>
            <w:bookmarkStart w:id="49" w:name="italic27" w:colFirst="0" w:colLast="0"/>
          </w:p>
        </w:tc>
        <w:tc>
          <w:tcPr>
            <w:tcW w:w="774" w:type="dxa"/>
            <w:gridSpan w:val="2"/>
            <w:vMerge w:val="continue"/>
          </w:tcPr>
          <w:p w14:paraId="39CF5FDE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2D57261F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c</w:t>
            </w:r>
            <w:r>
              <w:rPr>
                <w:sz w:val="20"/>
              </w:rPr>
              <w:t>) Explain how missing data were addressed</w:t>
            </w:r>
          </w:p>
        </w:tc>
        <w:tc>
          <w:tcPr>
            <w:tcW w:w="1273" w:type="dxa"/>
            <w:gridSpan w:val="2"/>
          </w:tcPr>
          <w:p w14:paraId="7EC4642C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3</w:t>
            </w:r>
          </w:p>
        </w:tc>
        <w:tc>
          <w:tcPr>
            <w:tcW w:w="3115" w:type="dxa"/>
          </w:tcPr>
          <w:p w14:paraId="3CE1D17F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Values below the LOD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were substituted with the LOD divided by the square root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of two (√2), which is an operation performed before the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logarithmic transformation.</w:t>
            </w:r>
          </w:p>
        </w:tc>
      </w:tr>
      <w:bookmarkEnd w:id="48"/>
      <w:bookmarkEnd w:id="49"/>
      <w:tr w14:paraId="4479C279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Merge w:val="continue"/>
            <w:shd w:val="clear" w:color="auto" w:fill="C3BD96" w:themeFill="background2" w:themeFillShade="BF"/>
          </w:tcPr>
          <w:p w14:paraId="1582F68D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6" w:colFirst="0" w:colLast="0"/>
            <w:bookmarkStart w:id="51" w:name="italic28" w:colFirst="0" w:colLast="0"/>
          </w:p>
        </w:tc>
        <w:tc>
          <w:tcPr>
            <w:tcW w:w="774" w:type="dxa"/>
            <w:gridSpan w:val="2"/>
            <w:vMerge w:val="continue"/>
          </w:tcPr>
          <w:p w14:paraId="6A88688B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26339214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d</w:t>
            </w:r>
            <w:r>
              <w:rPr>
                <w:sz w:val="20"/>
              </w:rPr>
              <w:t xml:space="preserve">) </w:t>
            </w:r>
            <w:r>
              <w:rPr>
                <w:bCs/>
                <w:i/>
                <w:sz w:val="20"/>
              </w:rPr>
              <w:t>Cohort study</w:t>
            </w:r>
            <w:r>
              <w:rPr>
                <w:sz w:val="20"/>
              </w:rPr>
              <w:t>—If applicable, explain how loss to follow-up was addressed</w:t>
            </w:r>
          </w:p>
          <w:p w14:paraId="3C67FE65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bCs/>
                <w:i/>
                <w:sz w:val="20"/>
              </w:rPr>
              <w:t>Case-control study</w:t>
            </w:r>
            <w:r>
              <w:rPr>
                <w:sz w:val="20"/>
              </w:rPr>
              <w:t>—If applicable, explain how matching of cases and controls was addressed</w:t>
            </w:r>
          </w:p>
          <w:p w14:paraId="363FBADE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bCs/>
                <w:i/>
                <w:sz w:val="20"/>
              </w:rPr>
              <w:t>Cross-sectional study</w:t>
            </w:r>
            <w:r>
              <w:rPr>
                <w:sz w:val="20"/>
              </w:rPr>
              <w:t>—If applicable, describe analytical methods taking account of sampling strategy</w:t>
            </w:r>
          </w:p>
        </w:tc>
        <w:tc>
          <w:tcPr>
            <w:tcW w:w="1273" w:type="dxa"/>
            <w:gridSpan w:val="2"/>
          </w:tcPr>
          <w:p w14:paraId="5D3C9FCF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1A3F83D8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50"/>
      <w:bookmarkEnd w:id="51"/>
      <w:tr w14:paraId="02E87F0C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1" w:type="dxa"/>
            <w:vMerge w:val="continue"/>
            <w:shd w:val="clear" w:color="auto" w:fill="C3BD96" w:themeFill="background2" w:themeFillShade="BF"/>
          </w:tcPr>
          <w:p w14:paraId="7965215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2" w:name="bold27" w:colFirst="0" w:colLast="0"/>
            <w:bookmarkStart w:id="53" w:name="italic29" w:colFirst="0" w:colLast="0"/>
          </w:p>
        </w:tc>
        <w:tc>
          <w:tcPr>
            <w:tcW w:w="774" w:type="dxa"/>
            <w:gridSpan w:val="2"/>
            <w:vMerge w:val="continue"/>
          </w:tcPr>
          <w:p w14:paraId="4837341B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2298AE5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  <w:u w:val="single"/>
              </w:rPr>
              <w:t>e</w:t>
            </w:r>
            <w:r>
              <w:rPr>
                <w:sz w:val="20"/>
              </w:rPr>
              <w:t>) Describe any sensitivity analyses</w:t>
            </w:r>
          </w:p>
        </w:tc>
        <w:tc>
          <w:tcPr>
            <w:tcW w:w="1273" w:type="dxa"/>
            <w:gridSpan w:val="2"/>
          </w:tcPr>
          <w:p w14:paraId="3184D904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4CCECD4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52"/>
      <w:bookmarkEnd w:id="53"/>
      <w:tr w14:paraId="7170AD29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92" w:type="dxa"/>
            <w:gridSpan w:val="7"/>
            <w:shd w:val="clear" w:color="auto" w:fill="948A54" w:themeFill="background2" w:themeFillShade="80"/>
          </w:tcPr>
          <w:p w14:paraId="4A72A3D1">
            <w:pPr>
              <w:pStyle w:val="168"/>
              <w:tabs>
                <w:tab w:val="left" w:pos="5400"/>
              </w:tabs>
              <w:rPr>
                <w:sz w:val="22"/>
                <w:szCs w:val="22"/>
              </w:rPr>
            </w:pPr>
            <w:r>
              <w:rPr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  <w:t>Results</w:t>
            </w:r>
          </w:p>
        </w:tc>
      </w:tr>
      <w:tr w14:paraId="1112310D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shd w:val="clear" w:color="auto" w:fill="DDD9C4" w:themeFill="background2" w:themeFillShade="E6"/>
          </w:tcPr>
          <w:p w14:paraId="78D72987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4" w:name="bold29"/>
            <w:bookmarkStart w:id="55" w:name="italic31"/>
            <w:r>
              <w:rPr>
                <w:bCs/>
                <w:sz w:val="20"/>
              </w:rPr>
              <w:t>Participants</w:t>
            </w:r>
            <w:bookmarkEnd w:id="54"/>
            <w:bookmarkEnd w:id="55"/>
          </w:p>
        </w:tc>
        <w:tc>
          <w:tcPr>
            <w:tcW w:w="0" w:type="auto"/>
            <w:gridSpan w:val="2"/>
            <w:vMerge w:val="restart"/>
          </w:tcPr>
          <w:p w14:paraId="29EBB8E3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  <w:bookmarkStart w:id="56" w:name="bold30"/>
            <w:r>
              <w:rPr>
                <w:bCs/>
                <w:sz w:val="20"/>
              </w:rPr>
              <w:t>*</w:t>
            </w:r>
            <w:bookmarkEnd w:id="56"/>
          </w:p>
        </w:tc>
        <w:tc>
          <w:tcPr>
            <w:tcW w:w="8309" w:type="dxa"/>
          </w:tcPr>
          <w:p w14:paraId="5DAC13BF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(a) Report numbers of individuals at each stage of study—eg numbers potentially eligible, examined for eligibility, confirmed eligible, included in the study, completing follow-up, and analysed</w:t>
            </w:r>
          </w:p>
        </w:tc>
        <w:tc>
          <w:tcPr>
            <w:tcW w:w="1273" w:type="dxa"/>
            <w:gridSpan w:val="2"/>
          </w:tcPr>
          <w:p w14:paraId="31039809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3115" w:type="dxa"/>
          </w:tcPr>
          <w:p w14:paraId="71A9EC91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Clinical data and serum samples were collected from 247 women of reproductive age who underwent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preconception fertility evaluation at the Hainan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Women and Children’s Medical Center from January 2022 to June 2024.</w:t>
            </w:r>
          </w:p>
        </w:tc>
      </w:tr>
      <w:tr w14:paraId="79B70E0F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shd w:val="clear" w:color="auto" w:fill="DDD9C4" w:themeFill="background2" w:themeFillShade="E6"/>
          </w:tcPr>
          <w:p w14:paraId="5D36022C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7" w:name="bold31" w:colFirst="0" w:colLast="0"/>
            <w:bookmarkStart w:id="58" w:name="italic32" w:colFirst="0" w:colLast="0"/>
          </w:p>
        </w:tc>
        <w:tc>
          <w:tcPr>
            <w:tcW w:w="0" w:type="auto"/>
            <w:gridSpan w:val="2"/>
            <w:vMerge w:val="continue"/>
          </w:tcPr>
          <w:p w14:paraId="1878DE75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286BA692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(b) Give reasons for non-participation at each stage</w:t>
            </w:r>
          </w:p>
        </w:tc>
        <w:tc>
          <w:tcPr>
            <w:tcW w:w="1273" w:type="dxa"/>
            <w:gridSpan w:val="2"/>
          </w:tcPr>
          <w:p w14:paraId="246F50B7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592E88D3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57"/>
      <w:bookmarkEnd w:id="58"/>
      <w:tr w14:paraId="29E74100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shd w:val="clear" w:color="auto" w:fill="DDD9C4" w:themeFill="background2" w:themeFillShade="E6"/>
          </w:tcPr>
          <w:p w14:paraId="7D2A375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2" w:colFirst="0" w:colLast="0"/>
            <w:bookmarkStart w:id="60" w:name="italic33" w:colFirst="0" w:colLast="0"/>
          </w:p>
        </w:tc>
        <w:tc>
          <w:tcPr>
            <w:tcW w:w="0" w:type="auto"/>
            <w:gridSpan w:val="2"/>
            <w:vMerge w:val="continue"/>
          </w:tcPr>
          <w:p w14:paraId="06109F65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1798A6CC">
            <w:pPr>
              <w:tabs>
                <w:tab w:val="left" w:pos="5400"/>
              </w:tabs>
              <w:rPr>
                <w:sz w:val="20"/>
              </w:rPr>
            </w:pPr>
            <w:bookmarkStart w:id="61" w:name="OLE_LINK4"/>
            <w:r>
              <w:rPr>
                <w:sz w:val="20"/>
              </w:rPr>
              <w:t>(c) Consider use of a flow diagram</w:t>
            </w:r>
            <w:bookmarkEnd w:id="61"/>
          </w:p>
        </w:tc>
        <w:tc>
          <w:tcPr>
            <w:tcW w:w="1273" w:type="dxa"/>
            <w:gridSpan w:val="2"/>
          </w:tcPr>
          <w:p w14:paraId="37E177CC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42FB982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59"/>
      <w:bookmarkEnd w:id="60"/>
      <w:tr w14:paraId="0309E7A5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shd w:val="clear" w:color="auto" w:fill="C3BD96" w:themeFill="background2" w:themeFillShade="BF"/>
          </w:tcPr>
          <w:p w14:paraId="4D6BDD1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2" w:name="bold33"/>
            <w:bookmarkStart w:id="63" w:name="italic34"/>
            <w:r>
              <w:rPr>
                <w:bCs/>
                <w:sz w:val="20"/>
              </w:rPr>
              <w:t xml:space="preserve">Descriptive </w:t>
            </w:r>
            <w:bookmarkEnd w:id="62"/>
            <w:bookmarkEnd w:id="63"/>
            <w:bookmarkStart w:id="64" w:name="bold34"/>
            <w:bookmarkStart w:id="65" w:name="italic35"/>
            <w:r>
              <w:rPr>
                <w:bCs/>
                <w:sz w:val="20"/>
              </w:rPr>
              <w:t>data</w:t>
            </w:r>
            <w:bookmarkEnd w:id="64"/>
            <w:bookmarkEnd w:id="65"/>
          </w:p>
        </w:tc>
        <w:tc>
          <w:tcPr>
            <w:tcW w:w="0" w:type="auto"/>
            <w:gridSpan w:val="2"/>
            <w:vMerge w:val="restart"/>
          </w:tcPr>
          <w:p w14:paraId="0899BEB3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  <w:bookmarkStart w:id="66" w:name="bold35"/>
            <w:r>
              <w:rPr>
                <w:bCs/>
                <w:sz w:val="20"/>
              </w:rPr>
              <w:t>*</w:t>
            </w:r>
            <w:bookmarkEnd w:id="66"/>
          </w:p>
        </w:tc>
        <w:tc>
          <w:tcPr>
            <w:tcW w:w="8309" w:type="dxa"/>
          </w:tcPr>
          <w:p w14:paraId="6AC8EA5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(a) Give characteristics of study participants (eg demographic, clinical, social) and information on exposures and potential confounders</w:t>
            </w:r>
          </w:p>
        </w:tc>
        <w:tc>
          <w:tcPr>
            <w:tcW w:w="1273" w:type="dxa"/>
            <w:gridSpan w:val="2"/>
          </w:tcPr>
          <w:p w14:paraId="23CF9E50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2</w:t>
            </w:r>
          </w:p>
        </w:tc>
        <w:tc>
          <w:tcPr>
            <w:tcW w:w="3115" w:type="dxa"/>
          </w:tcPr>
          <w:p w14:paraId="1C37E374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</w:rPr>
              <w:t>Clinical data and serum samples were collected from 247 women of reproductive age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tr w14:paraId="27696C54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shd w:val="clear" w:color="auto" w:fill="C3BD96" w:themeFill="background2" w:themeFillShade="BF"/>
          </w:tcPr>
          <w:p w14:paraId="09E80D0E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7" w:name="bold36" w:colFirst="0" w:colLast="0"/>
            <w:bookmarkStart w:id="68" w:name="italic36" w:colFirst="0" w:colLast="0"/>
          </w:p>
        </w:tc>
        <w:tc>
          <w:tcPr>
            <w:tcW w:w="0" w:type="auto"/>
            <w:gridSpan w:val="2"/>
            <w:vMerge w:val="continue"/>
          </w:tcPr>
          <w:p w14:paraId="250CA5E4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59934948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(b) Indicate number of participants with missing data for each variable of interest</w:t>
            </w:r>
          </w:p>
        </w:tc>
        <w:tc>
          <w:tcPr>
            <w:tcW w:w="1273" w:type="dxa"/>
            <w:gridSpan w:val="2"/>
          </w:tcPr>
          <w:p w14:paraId="48EC7FBD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53778B4D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67"/>
      <w:bookmarkEnd w:id="68"/>
      <w:tr w14:paraId="6014BD3A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shd w:val="clear" w:color="auto" w:fill="C3BD96" w:themeFill="background2" w:themeFillShade="BF"/>
          </w:tcPr>
          <w:p w14:paraId="2C4E364E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7" w:colFirst="0" w:colLast="0"/>
            <w:bookmarkStart w:id="70" w:name="italic37" w:colFirst="0" w:colLast="0"/>
          </w:p>
        </w:tc>
        <w:tc>
          <w:tcPr>
            <w:tcW w:w="0" w:type="auto"/>
            <w:gridSpan w:val="2"/>
            <w:vMerge w:val="continue"/>
          </w:tcPr>
          <w:p w14:paraId="76FF78C4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2D1EA6CD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(c) </w:t>
            </w:r>
            <w:r>
              <w:rPr>
                <w:i/>
                <w:sz w:val="20"/>
              </w:rPr>
              <w:t>Cohort study</w:t>
            </w:r>
            <w:r>
              <w:rPr>
                <w:sz w:val="20"/>
              </w:rPr>
              <w:t>—Summarise follow-up time (eg, average and total amount)</w:t>
            </w:r>
          </w:p>
        </w:tc>
        <w:tc>
          <w:tcPr>
            <w:tcW w:w="1273" w:type="dxa"/>
            <w:gridSpan w:val="2"/>
          </w:tcPr>
          <w:p w14:paraId="0B7F23DE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22730CD0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69"/>
      <w:bookmarkEnd w:id="70"/>
      <w:tr w14:paraId="444BB73C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0" w:type="auto"/>
            <w:vMerge w:val="restart"/>
            <w:shd w:val="clear" w:color="auto" w:fill="DDD9C4" w:themeFill="background2" w:themeFillShade="E6"/>
          </w:tcPr>
          <w:p w14:paraId="37AAA5BC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1" w:name="bold38" w:colFirst="0" w:colLast="0"/>
            <w:bookmarkStart w:id="72" w:name="italic38" w:colFirst="0" w:colLast="0"/>
            <w:r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  <w:gridSpan w:val="2"/>
            <w:vMerge w:val="restart"/>
          </w:tcPr>
          <w:p w14:paraId="4A3F98EB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bookmarkStart w:id="73" w:name="bold39"/>
            <w:r>
              <w:rPr>
                <w:bCs/>
                <w:sz w:val="20"/>
              </w:rPr>
              <w:t>*</w:t>
            </w:r>
            <w:bookmarkEnd w:id="73"/>
          </w:p>
        </w:tc>
        <w:tc>
          <w:tcPr>
            <w:tcW w:w="8309" w:type="dxa"/>
          </w:tcPr>
          <w:p w14:paraId="28647CE0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i/>
                <w:sz w:val="20"/>
              </w:rPr>
              <w:t>Cohort study</w:t>
            </w:r>
            <w:r>
              <w:rPr>
                <w:sz w:val="20"/>
              </w:rPr>
              <w:t>—Report numbers of outcome events or summary measures over time</w:t>
            </w:r>
          </w:p>
        </w:tc>
        <w:tc>
          <w:tcPr>
            <w:tcW w:w="1273" w:type="dxa"/>
            <w:gridSpan w:val="2"/>
          </w:tcPr>
          <w:p w14:paraId="640D9E3A">
            <w:pPr>
              <w:tabs>
                <w:tab w:val="left" w:pos="5400"/>
              </w:tabs>
              <w:rPr>
                <w:rFonts w:hint="eastAsia" w:eastAsia="宋体"/>
                <w:i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3</w:t>
            </w:r>
          </w:p>
        </w:tc>
        <w:tc>
          <w:tcPr>
            <w:tcW w:w="3115" w:type="dxa"/>
          </w:tcPr>
          <w:p w14:paraId="20E08D14">
            <w:pPr>
              <w:tabs>
                <w:tab w:val="left" w:pos="5400"/>
              </w:tabs>
              <w:jc w:val="both"/>
              <w:rPr>
                <w:i/>
                <w:sz w:val="20"/>
              </w:rPr>
            </w:pPr>
            <w:r>
              <w:rPr>
                <w:rFonts w:hint="eastAsia"/>
                <w:sz w:val="20"/>
              </w:rPr>
              <w:t>Blood samples were collected from women of repro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ductive age by venipuncture between days 2 and 4 of their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menstrual cycle for preconception fertility evaluation.</w:t>
            </w:r>
          </w:p>
        </w:tc>
      </w:tr>
      <w:tr w14:paraId="1DC403AE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0" w:type="auto"/>
            <w:vMerge w:val="continue"/>
            <w:shd w:val="clear" w:color="auto" w:fill="DDD9C4" w:themeFill="background2" w:themeFillShade="E6"/>
          </w:tcPr>
          <w:p w14:paraId="259E1961">
            <w:pPr>
              <w:tabs>
                <w:tab w:val="left" w:pos="5400"/>
              </w:tabs>
              <w:rPr>
                <w:bCs/>
                <w:sz w:val="20"/>
              </w:rPr>
            </w:pPr>
          </w:p>
        </w:tc>
        <w:tc>
          <w:tcPr>
            <w:tcW w:w="0" w:type="auto"/>
            <w:gridSpan w:val="2"/>
            <w:vMerge w:val="continue"/>
          </w:tcPr>
          <w:p w14:paraId="09B465C6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3CF03CF0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Case-control study—</w:t>
            </w:r>
            <w:r>
              <w:rPr>
                <w:sz w:val="20"/>
              </w:rPr>
              <w:t>Report numbers in each exposure category, or summary measures of exposure</w:t>
            </w:r>
          </w:p>
        </w:tc>
        <w:tc>
          <w:tcPr>
            <w:tcW w:w="1273" w:type="dxa"/>
            <w:gridSpan w:val="2"/>
          </w:tcPr>
          <w:p w14:paraId="3ED735FD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  <w:tc>
          <w:tcPr>
            <w:tcW w:w="3115" w:type="dxa"/>
          </w:tcPr>
          <w:p w14:paraId="7C0BA04C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tr w14:paraId="5CFCFA1F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4" w:hRule="atLeast"/>
        </w:trPr>
        <w:tc>
          <w:tcPr>
            <w:tcW w:w="0" w:type="auto"/>
            <w:vMerge w:val="continue"/>
            <w:shd w:val="clear" w:color="auto" w:fill="DDD9C4" w:themeFill="background2" w:themeFillShade="E6"/>
          </w:tcPr>
          <w:p w14:paraId="2E26FB46">
            <w:pPr>
              <w:tabs>
                <w:tab w:val="left" w:pos="5400"/>
              </w:tabs>
              <w:rPr>
                <w:bCs/>
                <w:sz w:val="20"/>
              </w:rPr>
            </w:pPr>
          </w:p>
        </w:tc>
        <w:tc>
          <w:tcPr>
            <w:tcW w:w="0" w:type="auto"/>
            <w:gridSpan w:val="2"/>
            <w:vMerge w:val="continue"/>
          </w:tcPr>
          <w:p w14:paraId="2F718133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2135C59B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Cross-sectional study—</w:t>
            </w:r>
            <w:r>
              <w:rPr>
                <w:sz w:val="20"/>
              </w:rPr>
              <w:t>Report numbers of outcome events or summary measures</w:t>
            </w:r>
          </w:p>
        </w:tc>
        <w:tc>
          <w:tcPr>
            <w:tcW w:w="1273" w:type="dxa"/>
            <w:gridSpan w:val="2"/>
          </w:tcPr>
          <w:p w14:paraId="37D98599">
            <w:pPr>
              <w:tabs>
                <w:tab w:val="left" w:pos="5400"/>
              </w:tabs>
              <w:rPr>
                <w:i/>
                <w:sz w:val="20"/>
              </w:rPr>
            </w:pPr>
          </w:p>
        </w:tc>
        <w:tc>
          <w:tcPr>
            <w:tcW w:w="3115" w:type="dxa"/>
          </w:tcPr>
          <w:p w14:paraId="489695E4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71"/>
      <w:bookmarkEnd w:id="72"/>
      <w:tr w14:paraId="7B564F0A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restart"/>
            <w:shd w:val="clear" w:color="auto" w:fill="C3BD96" w:themeFill="background2" w:themeFillShade="BF"/>
          </w:tcPr>
          <w:p w14:paraId="243DC048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4" w:name="bold41" w:colFirst="0" w:colLast="0"/>
            <w:bookmarkStart w:id="75" w:name="italic40" w:colFirst="0" w:colLast="0"/>
            <w:r>
              <w:rPr>
                <w:bCs/>
                <w:sz w:val="20"/>
              </w:rPr>
              <w:t>Main results</w:t>
            </w:r>
          </w:p>
        </w:tc>
        <w:tc>
          <w:tcPr>
            <w:tcW w:w="0" w:type="auto"/>
            <w:gridSpan w:val="2"/>
            <w:vMerge w:val="restart"/>
          </w:tcPr>
          <w:p w14:paraId="032D7F6E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8309" w:type="dxa"/>
          </w:tcPr>
          <w:p w14:paraId="383F7200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a</w:t>
            </w:r>
            <w:r>
              <w:rPr>
                <w:sz w:val="20"/>
              </w:rPr>
              <w:t>) Give unadjusted estimates and, if applicable, confounder-adjusted estimates and their precision (eg, 95% confidence interval). Make clear which confounders were adjusted for and why they were included</w:t>
            </w:r>
          </w:p>
        </w:tc>
        <w:tc>
          <w:tcPr>
            <w:tcW w:w="1273" w:type="dxa"/>
            <w:gridSpan w:val="2"/>
          </w:tcPr>
          <w:p w14:paraId="1602424D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20DEEA7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74"/>
      <w:bookmarkEnd w:id="75"/>
      <w:tr w14:paraId="1796D46B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shd w:val="clear" w:color="auto" w:fill="C3BD96" w:themeFill="background2" w:themeFillShade="BF"/>
          </w:tcPr>
          <w:p w14:paraId="1CD376E3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bold42" w:colFirst="0" w:colLast="0"/>
            <w:bookmarkStart w:id="77" w:name="italic41" w:colFirst="0" w:colLast="0"/>
          </w:p>
        </w:tc>
        <w:tc>
          <w:tcPr>
            <w:tcW w:w="0" w:type="auto"/>
            <w:gridSpan w:val="2"/>
            <w:vMerge w:val="continue"/>
          </w:tcPr>
          <w:p w14:paraId="4BAF71FB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2CC3C25C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b</w:t>
            </w:r>
            <w:r>
              <w:rPr>
                <w:sz w:val="20"/>
              </w:rPr>
              <w:t>) Report category boundaries when continuous variables were categorized</w:t>
            </w:r>
          </w:p>
        </w:tc>
        <w:tc>
          <w:tcPr>
            <w:tcW w:w="1273" w:type="dxa"/>
            <w:gridSpan w:val="2"/>
          </w:tcPr>
          <w:p w14:paraId="6C04FA04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6238E55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76"/>
      <w:bookmarkEnd w:id="77"/>
      <w:tr w14:paraId="6E502C84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vMerge w:val="continue"/>
            <w:shd w:val="clear" w:color="auto" w:fill="C3BD96" w:themeFill="background2" w:themeFillShade="BF"/>
          </w:tcPr>
          <w:p w14:paraId="7D1F3688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bold43" w:colFirst="0" w:colLast="0"/>
            <w:bookmarkStart w:id="79" w:name="italic42" w:colFirst="0" w:colLast="0"/>
          </w:p>
        </w:tc>
        <w:tc>
          <w:tcPr>
            <w:tcW w:w="0" w:type="auto"/>
            <w:gridSpan w:val="2"/>
            <w:vMerge w:val="continue"/>
          </w:tcPr>
          <w:p w14:paraId="6207E527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8309" w:type="dxa"/>
          </w:tcPr>
          <w:p w14:paraId="7ED488E4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(</w:t>
            </w:r>
            <w:r>
              <w:rPr>
                <w:i/>
                <w:sz w:val="20"/>
              </w:rPr>
              <w:t>c</w:t>
            </w:r>
            <w:r>
              <w:rPr>
                <w:sz w:val="20"/>
              </w:rPr>
              <w:t>) If relevant, consider translating estimates of relative risk into absolute risk for a meaningful time period</w:t>
            </w:r>
          </w:p>
        </w:tc>
        <w:tc>
          <w:tcPr>
            <w:tcW w:w="1273" w:type="dxa"/>
            <w:gridSpan w:val="2"/>
          </w:tcPr>
          <w:p w14:paraId="2F8D6355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15" w:type="dxa"/>
          </w:tcPr>
          <w:p w14:paraId="65CFD46D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bookmarkEnd w:id="78"/>
      <w:bookmarkEnd w:id="79"/>
      <w:tr w14:paraId="090F09DE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DDD9C4" w:themeFill="background2" w:themeFillShade="E6"/>
          </w:tcPr>
          <w:p w14:paraId="0AE64824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0" w:name="italic43"/>
            <w:bookmarkStart w:id="81" w:name="bold44"/>
            <w:r>
              <w:br w:type="page"/>
            </w:r>
            <w:r>
              <w:rPr>
                <w:bCs/>
                <w:sz w:val="20"/>
              </w:rPr>
              <w:t>Other analyses</w:t>
            </w:r>
            <w:bookmarkEnd w:id="80"/>
            <w:bookmarkEnd w:id="81"/>
          </w:p>
        </w:tc>
        <w:tc>
          <w:tcPr>
            <w:tcW w:w="0" w:type="auto"/>
          </w:tcPr>
          <w:p w14:paraId="434A40D8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8667" w:type="dxa"/>
            <w:gridSpan w:val="2"/>
          </w:tcPr>
          <w:p w14:paraId="7140938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Report other analyses done—eg analyses of subgroups and interactions, and sensitivity analyses</w:t>
            </w:r>
          </w:p>
        </w:tc>
        <w:tc>
          <w:tcPr>
            <w:tcW w:w="1262" w:type="dxa"/>
          </w:tcPr>
          <w:p w14:paraId="675F972E">
            <w:pPr>
              <w:tabs>
                <w:tab w:val="left" w:pos="5400"/>
              </w:tabs>
              <w:rPr>
                <w:sz w:val="20"/>
              </w:rPr>
            </w:pPr>
          </w:p>
        </w:tc>
        <w:tc>
          <w:tcPr>
            <w:tcW w:w="3126" w:type="dxa"/>
            <w:gridSpan w:val="2"/>
          </w:tcPr>
          <w:p w14:paraId="5FFD96EE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Not applicable</w:t>
            </w:r>
            <w:r>
              <w:rPr>
                <w:rFonts w:hint="eastAsia" w:eastAsia="宋体"/>
                <w:sz w:val="20"/>
                <w:lang w:val="en-US" w:eastAsia="zh-CN"/>
              </w:rPr>
              <w:t>.</w:t>
            </w:r>
          </w:p>
        </w:tc>
      </w:tr>
      <w:tr w14:paraId="07B47A5C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92" w:type="dxa"/>
            <w:gridSpan w:val="7"/>
            <w:shd w:val="clear" w:color="auto" w:fill="948A54" w:themeFill="background2" w:themeFillShade="80"/>
          </w:tcPr>
          <w:p w14:paraId="7283AAEE">
            <w:pPr>
              <w:pStyle w:val="168"/>
              <w:tabs>
                <w:tab w:val="left" w:pos="5400"/>
              </w:tabs>
              <w:rPr>
                <w:sz w:val="22"/>
                <w:szCs w:val="22"/>
              </w:rPr>
            </w:pPr>
            <w:bookmarkStart w:id="82" w:name="italic44"/>
            <w:bookmarkStart w:id="83" w:name="bold45"/>
            <w:r>
              <w:rPr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  <w:t>Discussion</w:t>
            </w:r>
            <w:bookmarkEnd w:id="82"/>
            <w:bookmarkEnd w:id="83"/>
          </w:p>
        </w:tc>
      </w:tr>
      <w:tr w14:paraId="176170AA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C3BD96" w:themeFill="background2" w:themeFillShade="BF"/>
          </w:tcPr>
          <w:p w14:paraId="630B27B1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4" w:name="bold46" w:colFirst="0" w:colLast="0"/>
            <w:bookmarkStart w:id="85" w:name="italic45" w:colFirst="0" w:colLast="0"/>
            <w:r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</w:tcPr>
          <w:p w14:paraId="61AA54D9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8667" w:type="dxa"/>
            <w:gridSpan w:val="2"/>
          </w:tcPr>
          <w:p w14:paraId="00802A2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Summarise key results with reference to study objectives</w:t>
            </w:r>
          </w:p>
        </w:tc>
        <w:tc>
          <w:tcPr>
            <w:tcW w:w="1262" w:type="dxa"/>
          </w:tcPr>
          <w:p w14:paraId="0A367A15">
            <w:pPr>
              <w:tabs>
                <w:tab w:val="left" w:pos="5400"/>
              </w:tabs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5-7</w:t>
            </w:r>
          </w:p>
        </w:tc>
        <w:tc>
          <w:tcPr>
            <w:tcW w:w="3126" w:type="dxa"/>
            <w:gridSpan w:val="2"/>
          </w:tcPr>
          <w:p w14:paraId="6B39B6BD">
            <w:pPr>
              <w:tabs>
                <w:tab w:val="left" w:pos="5400"/>
              </w:tabs>
              <w:jc w:val="both"/>
              <w:rPr>
                <w:rFonts w:hint="default" w:eastAsia="宋体"/>
                <w:sz w:val="20"/>
                <w:lang w:val="en-US" w:eastAsia="zh-CN"/>
              </w:rPr>
            </w:pPr>
            <w:r>
              <w:rPr>
                <w:rFonts w:hint="eastAsia"/>
                <w:sz w:val="20"/>
              </w:rPr>
              <w:t>Our findings examined the correlations between PFAS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and reproductive hormones in women of reproductive age.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The median concentrations of most PFAS detected in the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serum of these women were lower than those reported in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women of the same age group in other countries and regions of China</w:t>
            </w:r>
            <w:r>
              <w:rPr>
                <w:rFonts w:hint="eastAsia" w:eastAsia="宋体"/>
                <w:sz w:val="20"/>
                <w:lang w:val="en-US" w:eastAsia="zh-CN"/>
              </w:rPr>
              <w:t>.We observed a positive association between exposure to PFHpA and TT levels, with a β of 0.51(95% CI for B: 0.18, 0.30). Similarly, our prior research also reported a positive correlation between PFHpA and TT levels.</w:t>
            </w:r>
          </w:p>
        </w:tc>
      </w:tr>
      <w:bookmarkEnd w:id="84"/>
      <w:bookmarkEnd w:id="85"/>
      <w:tr w14:paraId="27A569F4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DDD9C4" w:themeFill="background2" w:themeFillShade="E6"/>
          </w:tcPr>
          <w:p w14:paraId="14E5DC20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6" w:colFirst="0" w:colLast="0"/>
            <w:bookmarkStart w:id="87" w:name="bold47" w:colFirst="0" w:colLast="0"/>
            <w:r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</w:tcPr>
          <w:p w14:paraId="373808AF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8667" w:type="dxa"/>
            <w:gridSpan w:val="2"/>
          </w:tcPr>
          <w:p w14:paraId="29155044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Discuss limitations of the study, taking into account sources of potential bias or imprecision. Discuss both direction and magnitude of any potential bias</w:t>
            </w:r>
          </w:p>
        </w:tc>
        <w:tc>
          <w:tcPr>
            <w:tcW w:w="1262" w:type="dxa"/>
          </w:tcPr>
          <w:p w14:paraId="735FF70B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8</w:t>
            </w:r>
          </w:p>
        </w:tc>
        <w:tc>
          <w:tcPr>
            <w:tcW w:w="3126" w:type="dxa"/>
            <w:gridSpan w:val="2"/>
          </w:tcPr>
          <w:p w14:paraId="13C6584C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Our study has several limitations that warrant ac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knowledgment. First, reproductive hormone levels are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known to fluctuate significantly over time, and these varia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tions can markedly reduce the statistical power required to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identify significant differences.</w:t>
            </w:r>
          </w:p>
        </w:tc>
      </w:tr>
      <w:bookmarkEnd w:id="86"/>
      <w:bookmarkEnd w:id="87"/>
      <w:tr w14:paraId="723776CB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C3BD96" w:themeFill="background2" w:themeFillShade="BF"/>
          </w:tcPr>
          <w:p w14:paraId="1F6032C1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7" w:colFirst="0" w:colLast="0"/>
            <w:bookmarkStart w:id="89" w:name="bold48" w:colFirst="0" w:colLast="0"/>
            <w:r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01E5119C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8667" w:type="dxa"/>
            <w:gridSpan w:val="2"/>
          </w:tcPr>
          <w:p w14:paraId="742D38AB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1262" w:type="dxa"/>
          </w:tcPr>
          <w:p w14:paraId="033A64D1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8</w:t>
            </w:r>
          </w:p>
        </w:tc>
        <w:tc>
          <w:tcPr>
            <w:tcW w:w="3126" w:type="dxa"/>
            <w:gridSpan w:val="2"/>
          </w:tcPr>
          <w:p w14:paraId="78B84A61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This study revealed that PFHpA exposure affects TT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levels in women of reproductive age. In female murine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models, greater PFHpA exposure was associated with el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evated TT levels.</w:t>
            </w:r>
          </w:p>
        </w:tc>
      </w:tr>
      <w:bookmarkEnd w:id="88"/>
      <w:bookmarkEnd w:id="89"/>
      <w:tr w14:paraId="4B5D5F30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DDD9C4" w:themeFill="background2" w:themeFillShade="E6"/>
          </w:tcPr>
          <w:p w14:paraId="19B0146D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0" w:name="italic48" w:colFirst="0" w:colLast="0"/>
            <w:bookmarkStart w:id="91" w:name="bold49" w:colFirst="0" w:colLast="0"/>
            <w:r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</w:tcPr>
          <w:p w14:paraId="10339FA2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8667" w:type="dxa"/>
            <w:gridSpan w:val="2"/>
          </w:tcPr>
          <w:p w14:paraId="36BD2347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1262" w:type="dxa"/>
          </w:tcPr>
          <w:p w14:paraId="5F902CD4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8</w:t>
            </w:r>
          </w:p>
        </w:tc>
        <w:tc>
          <w:tcPr>
            <w:tcW w:w="3126" w:type="dxa"/>
            <w:gridSpan w:val="2"/>
          </w:tcPr>
          <w:p w14:paraId="7F02EDD9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rFonts w:hint="eastAsia"/>
                <w:sz w:val="20"/>
              </w:rPr>
              <w:t>The findings provide both human and animal evidence linking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PFHpA to re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productive hormones and establish the groundwork for fur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ther investigation into the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underlying mechanisms.</w:t>
            </w:r>
          </w:p>
        </w:tc>
      </w:tr>
      <w:bookmarkEnd w:id="90"/>
      <w:bookmarkEnd w:id="91"/>
      <w:tr w14:paraId="1021EC80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37" w:type="dxa"/>
            <w:gridSpan w:val="2"/>
            <w:shd w:val="clear" w:color="auto" w:fill="948A54" w:themeFill="background2" w:themeFillShade="80"/>
          </w:tcPr>
          <w:p w14:paraId="456DDC58">
            <w:pPr>
              <w:pStyle w:val="168"/>
              <w:tabs>
                <w:tab w:val="left" w:pos="5400"/>
              </w:tabs>
              <w:rPr>
                <w:sz w:val="22"/>
                <w:szCs w:val="22"/>
              </w:rPr>
            </w:pPr>
            <w:bookmarkStart w:id="92" w:name="italic49"/>
            <w:bookmarkStart w:id="93" w:name="bold50"/>
            <w:r>
              <w:rPr>
                <w:color w:val="FFFFFF" w:themeColor="background1"/>
                <w:sz w:val="22"/>
                <w:szCs w:val="22"/>
                <w14:textFill>
                  <w14:solidFill>
                    <w14:schemeClr w14:val="bg1"/>
                  </w14:solidFill>
                </w14:textFill>
              </w:rPr>
              <w:t>Other information</w:t>
            </w:r>
          </w:p>
          <w:bookmarkEnd w:id="92"/>
          <w:bookmarkEnd w:id="93"/>
        </w:tc>
        <w:tc>
          <w:tcPr>
            <w:tcW w:w="13055" w:type="dxa"/>
            <w:gridSpan w:val="5"/>
            <w:shd w:val="clear" w:color="auto" w:fill="948A54" w:themeFill="background2" w:themeFillShade="80"/>
          </w:tcPr>
          <w:p w14:paraId="4B2BAC2A">
            <w:pPr>
              <w:pStyle w:val="168"/>
              <w:tabs>
                <w:tab w:val="left" w:pos="5400"/>
              </w:tabs>
              <w:rPr>
                <w:sz w:val="20"/>
              </w:rPr>
            </w:pPr>
          </w:p>
        </w:tc>
      </w:tr>
      <w:tr w14:paraId="26FDEC20">
        <w:tblPrEx>
          <w:tblBorders>
            <w:top w:val="single" w:color="948A54" w:themeColor="background2" w:themeShade="80" w:sz="8" w:space="0"/>
            <w:left w:val="single" w:color="948A54" w:themeColor="background2" w:themeShade="80" w:sz="8" w:space="0"/>
            <w:bottom w:val="single" w:color="948A54" w:themeColor="background2" w:themeShade="80" w:sz="8" w:space="0"/>
            <w:right w:val="single" w:color="948A54" w:themeColor="background2" w:themeShade="80" w:sz="8" w:space="0"/>
            <w:insideH w:val="single" w:color="948A54" w:themeColor="background2" w:themeShade="80" w:sz="8" w:space="0"/>
            <w:insideV w:val="single" w:color="948A54" w:themeColor="background2" w:themeShade="8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C3BD96" w:themeFill="background2" w:themeFillShade="BF"/>
          </w:tcPr>
          <w:p w14:paraId="1A568E34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4" w:name="italic50" w:colFirst="0" w:colLast="0"/>
            <w:bookmarkStart w:id="95" w:name="bold51" w:colFirst="0" w:colLast="0"/>
            <w:r>
              <w:rPr>
                <w:bCs/>
                <w:sz w:val="20"/>
              </w:rPr>
              <w:t>Funding</w:t>
            </w:r>
          </w:p>
        </w:tc>
        <w:tc>
          <w:tcPr>
            <w:tcW w:w="0" w:type="auto"/>
          </w:tcPr>
          <w:p w14:paraId="33E24CEC">
            <w:pPr>
              <w:tabs>
                <w:tab w:val="left" w:pos="5400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8667" w:type="dxa"/>
            <w:gridSpan w:val="2"/>
          </w:tcPr>
          <w:p w14:paraId="782A04DD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1262" w:type="dxa"/>
          </w:tcPr>
          <w:p w14:paraId="0CA082F5">
            <w:pPr>
              <w:tabs>
                <w:tab w:val="left" w:pos="5400"/>
              </w:tabs>
              <w:rPr>
                <w:rFonts w:hint="eastAsia" w:eastAsia="宋体"/>
                <w:sz w:val="20"/>
                <w:lang w:val="en-US" w:eastAsia="zh-CN"/>
              </w:rPr>
            </w:pPr>
            <w:r>
              <w:rPr>
                <w:rFonts w:hint="eastAsia" w:eastAsia="宋体"/>
                <w:sz w:val="20"/>
                <w:lang w:val="en-US" w:eastAsia="zh-CN"/>
              </w:rPr>
              <w:t>8</w:t>
            </w:r>
          </w:p>
        </w:tc>
        <w:tc>
          <w:tcPr>
            <w:tcW w:w="3126" w:type="dxa"/>
            <w:gridSpan w:val="2"/>
          </w:tcPr>
          <w:p w14:paraId="02A43533">
            <w:pPr>
              <w:tabs>
                <w:tab w:val="left" w:pos="5400"/>
              </w:tabs>
              <w:jc w:val="both"/>
              <w:rPr>
                <w:rFonts w:hint="eastAsia"/>
                <w:sz w:val="20"/>
              </w:rPr>
            </w:pPr>
            <w:r>
              <w:rPr>
                <w:rFonts w:hint="eastAsia"/>
                <w:sz w:val="20"/>
              </w:rPr>
              <w:t>This study received support from the Nanhai Junior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r>
              <w:rPr>
                <w:rFonts w:hint="eastAsia"/>
                <w:sz w:val="20"/>
              </w:rPr>
              <w:t>Talent Program of the Hainan Provincial Health Commis</w:t>
            </w:r>
            <w:r>
              <w:rPr>
                <w:rFonts w:hint="eastAsia"/>
                <w:sz w:val="20"/>
              </w:rPr>
              <w:t/>
            </w:r>
            <w:r>
              <w:rPr>
                <w:rFonts w:hint="eastAsia"/>
                <w:sz w:val="20"/>
              </w:rPr>
              <w:t>sion (NHXX-WJW-2023019), the Excellent Talent Team</w:t>
            </w:r>
            <w:r>
              <w:rPr>
                <w:rFonts w:hint="eastAsia" w:eastAsia="宋体"/>
                <w:sz w:val="20"/>
                <w:lang w:val="en-US" w:eastAsia="zh-CN"/>
              </w:rPr>
              <w:t xml:space="preserve"> </w:t>
            </w:r>
            <w:bookmarkStart w:id="96" w:name="_GoBack"/>
            <w:bookmarkEnd w:id="96"/>
            <w:r>
              <w:rPr>
                <w:rFonts w:hint="eastAsia"/>
                <w:sz w:val="20"/>
              </w:rPr>
              <w:t>of Hainan Province (QRCBT202121), and the Hainan</w:t>
            </w:r>
          </w:p>
          <w:p w14:paraId="463EC841">
            <w:pPr>
              <w:tabs>
                <w:tab w:val="left" w:pos="5400"/>
              </w:tabs>
              <w:jc w:val="both"/>
              <w:rPr>
                <w:sz w:val="20"/>
              </w:rPr>
            </w:pPr>
            <w:r>
              <w:rPr>
                <w:rFonts w:hint="eastAsia"/>
                <w:sz w:val="20"/>
              </w:rPr>
              <w:t>Province Clinical Medical Center (QWYH202175).</w:t>
            </w:r>
          </w:p>
        </w:tc>
      </w:tr>
      <w:bookmarkEnd w:id="94"/>
      <w:bookmarkEnd w:id="95"/>
    </w:tbl>
    <w:p w14:paraId="2699FE3C">
      <w:pPr>
        <w:pStyle w:val="154"/>
        <w:tabs>
          <w:tab w:val="left" w:pos="5400"/>
        </w:tabs>
        <w:rPr>
          <w:bCs/>
          <w:sz w:val="20"/>
        </w:rPr>
      </w:pPr>
    </w:p>
    <w:p w14:paraId="49AF818A">
      <w:pPr>
        <w:pStyle w:val="154"/>
        <w:shd w:val="clear" w:color="auto" w:fill="DDD9C4" w:themeFill="background2" w:themeFillShade="E6"/>
        <w:tabs>
          <w:tab w:val="left" w:pos="5400"/>
        </w:tabs>
        <w:rPr>
          <w:b/>
          <w:szCs w:val="24"/>
        </w:rPr>
      </w:pPr>
      <w:r>
        <w:rPr>
          <w:b/>
          <w:bCs/>
          <w:szCs w:val="24"/>
        </w:rPr>
        <w:t>*</w:t>
      </w:r>
      <w:r>
        <w:rPr>
          <w:b/>
          <w:szCs w:val="24"/>
        </w:rPr>
        <w:t>Give information separately for cases and controls in case-control studies and, if applicable, for exposed and unexposed groups in cohort and cross-sectional studies.</w:t>
      </w:r>
    </w:p>
    <w:sectPr>
      <w:headerReference r:id="rId5" w:type="default"/>
      <w:footerReference r:id="rId6" w:type="default"/>
      <w:footerReference r:id="rId7" w:type="even"/>
      <w:pgSz w:w="16834" w:h="11909" w:orient="landscape"/>
      <w:pgMar w:top="990" w:right="1134" w:bottom="1134" w:left="993" w:header="709" w:footer="709" w:gutter="0"/>
      <w:pgBorders w:offsetFrom="page">
        <w:top w:val="single" w:color="948A54" w:themeColor="background2" w:themeShade="80" w:sz="18" w:space="24"/>
        <w:left w:val="single" w:color="948A54" w:themeColor="background2" w:themeShade="80" w:sz="18" w:space="24"/>
        <w:bottom w:val="single" w:color="948A54" w:themeColor="background2" w:themeShade="80" w:sz="18" w:space="24"/>
        <w:right w:val="single" w:color="948A54" w:themeColor="background2" w:themeShade="80" w:sz="18" w:space="24"/>
      </w:pgBorders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NewRomanPS-Bold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8D83C5">
    <w:pPr>
      <w:pStyle w:val="49"/>
      <w:framePr w:wrap="around" w:vAnchor="text" w:hAnchor="margin" w:xAlign="center" w:y="1"/>
      <w:rPr>
        <w:rStyle w:val="78"/>
      </w:rPr>
    </w:pPr>
    <w:r>
      <w:rPr>
        <w:rStyle w:val="78"/>
      </w:rPr>
      <w:fldChar w:fldCharType="begin"/>
    </w:r>
    <w:r>
      <w:rPr>
        <w:rStyle w:val="78"/>
      </w:rPr>
      <w:instrText xml:space="preserve">PAGE  </w:instrText>
    </w:r>
    <w:r>
      <w:rPr>
        <w:rStyle w:val="78"/>
      </w:rPr>
      <w:fldChar w:fldCharType="separate"/>
    </w:r>
    <w:r>
      <w:rPr>
        <w:rStyle w:val="78"/>
      </w:rPr>
      <w:t>1</w:t>
    </w:r>
    <w:r>
      <w:rPr>
        <w:rStyle w:val="78"/>
      </w:rPr>
      <w:fldChar w:fldCharType="end"/>
    </w:r>
  </w:p>
  <w:p w14:paraId="184CC7B8">
    <w:pPr>
      <w:pStyle w:val="4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D6B915">
    <w:pPr>
      <w:pStyle w:val="49"/>
      <w:framePr w:wrap="around" w:vAnchor="text" w:hAnchor="margin" w:xAlign="center" w:y="1"/>
      <w:rPr>
        <w:rStyle w:val="78"/>
      </w:rPr>
    </w:pPr>
    <w:r>
      <w:rPr>
        <w:rStyle w:val="78"/>
      </w:rPr>
      <w:fldChar w:fldCharType="begin"/>
    </w:r>
    <w:r>
      <w:rPr>
        <w:rStyle w:val="78"/>
      </w:rPr>
      <w:instrText xml:space="preserve">PAGE  </w:instrText>
    </w:r>
    <w:r>
      <w:rPr>
        <w:rStyle w:val="78"/>
      </w:rPr>
      <w:fldChar w:fldCharType="end"/>
    </w:r>
  </w:p>
  <w:p w14:paraId="5C0C8996">
    <w:pPr>
      <w:pStyle w:val="4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A881F">
    <w:pPr>
      <w:pStyle w:val="51"/>
      <w:jc w:val="right"/>
      <w:rPr>
        <w:b/>
      </w:rPr>
    </w:pPr>
    <w:r>
      <w:rPr>
        <w:b/>
      </w:rPr>
      <w:t>STROBE Checklist</w:t>
    </w:r>
  </w:p>
  <w:p w14:paraId="1FA5FC31">
    <w:pPr>
      <w:pStyle w:val="5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56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2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3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1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5"/>
      <w:lvlText w:val=""/>
      <w:lvlJc w:val="left"/>
      <w:pPr>
        <w:tabs>
          <w:tab w:val="left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37"/>
      <w:lvlText w:val=""/>
      <w:lvlJc w:val="left"/>
      <w:pPr>
        <w:tabs>
          <w:tab w:val="left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18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2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19D1C5B"/>
    <w:multiLevelType w:val="multilevel"/>
    <w:tmpl w:val="019D1C5B"/>
    <w:lvl w:ilvl="0" w:tentative="0">
      <w:start w:val="1"/>
      <w:numFmt w:val="none"/>
      <w:pStyle w:val="118"/>
      <w:lvlText w:val="Fig Name - "/>
      <w:lvlJc w:val="left"/>
      <w:pPr>
        <w:tabs>
          <w:tab w:val="left" w:pos="2160"/>
        </w:tabs>
        <w:ind w:left="720" w:hanging="360"/>
      </w:pPr>
      <w:rPr>
        <w:rFonts w:hint="default"/>
        <w:color w:val="0000FF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3AC26C30"/>
    <w:multiLevelType w:val="multilevel"/>
    <w:tmpl w:val="3AC26C30"/>
    <w:lvl w:ilvl="0" w:tentative="0">
      <w:start w:val="1"/>
      <w:numFmt w:val="none"/>
      <w:suff w:val="space"/>
      <w:lvlText w:val="Accepted:"/>
      <w:lvlJc w:val="left"/>
      <w:pPr>
        <w:ind w:left="0" w:firstLine="0"/>
      </w:pPr>
    </w:lvl>
    <w:lvl w:ilvl="1" w:tentative="0">
      <w:start w:val="1"/>
      <w:numFmt w:val="upperLetter"/>
      <w:pStyle w:val="4"/>
      <w:lvlText w:val="%2."/>
      <w:lvlJc w:val="left"/>
      <w:pPr>
        <w:tabs>
          <w:tab w:val="left" w:pos="1080"/>
        </w:tabs>
        <w:ind w:left="720" w:firstLine="0"/>
      </w:pPr>
    </w:lvl>
    <w:lvl w:ilvl="2" w:tentative="0">
      <w:start w:val="1"/>
      <w:numFmt w:val="decimal"/>
      <w:pStyle w:val="5"/>
      <w:lvlText w:val="%3."/>
      <w:lvlJc w:val="left"/>
      <w:pPr>
        <w:tabs>
          <w:tab w:val="left" w:pos="1800"/>
        </w:tabs>
        <w:ind w:left="1440" w:firstLine="0"/>
      </w:pPr>
    </w:lvl>
    <w:lvl w:ilvl="3" w:tentative="0">
      <w:start w:val="1"/>
      <w:numFmt w:val="lowerLetter"/>
      <w:pStyle w:val="6"/>
      <w:lvlText w:val="%4)"/>
      <w:lvlJc w:val="left"/>
      <w:pPr>
        <w:tabs>
          <w:tab w:val="left" w:pos="2520"/>
        </w:tabs>
        <w:ind w:left="2160" w:firstLine="0"/>
      </w:pPr>
    </w:lvl>
    <w:lvl w:ilvl="4" w:tentative="0">
      <w:start w:val="1"/>
      <w:numFmt w:val="decimal"/>
      <w:pStyle w:val="7"/>
      <w:lvlText w:val="(%5)"/>
      <w:lvlJc w:val="left"/>
      <w:pPr>
        <w:tabs>
          <w:tab w:val="left" w:pos="3240"/>
        </w:tabs>
        <w:ind w:left="2880" w:firstLine="0"/>
      </w:pPr>
    </w:lvl>
    <w:lvl w:ilvl="5" w:tentative="0">
      <w:start w:val="1"/>
      <w:numFmt w:val="lowerLetter"/>
      <w:pStyle w:val="8"/>
      <w:lvlText w:val="(%6)"/>
      <w:lvlJc w:val="left"/>
      <w:pPr>
        <w:tabs>
          <w:tab w:val="left" w:pos="3960"/>
        </w:tabs>
        <w:ind w:left="3600" w:firstLine="0"/>
      </w:pPr>
    </w:lvl>
    <w:lvl w:ilvl="6" w:tentative="0">
      <w:start w:val="1"/>
      <w:numFmt w:val="lowerRoman"/>
      <w:pStyle w:val="9"/>
      <w:lvlText w:val="(%7)"/>
      <w:lvlJc w:val="left"/>
      <w:pPr>
        <w:tabs>
          <w:tab w:val="left" w:pos="4680"/>
        </w:tabs>
        <w:ind w:left="4320" w:firstLine="0"/>
      </w:pPr>
    </w:lvl>
    <w:lvl w:ilvl="7" w:tentative="0">
      <w:start w:val="1"/>
      <w:numFmt w:val="lowerLetter"/>
      <w:pStyle w:val="10"/>
      <w:lvlText w:val="(%8)"/>
      <w:lvlJc w:val="left"/>
      <w:pPr>
        <w:tabs>
          <w:tab w:val="left" w:pos="5400"/>
        </w:tabs>
        <w:ind w:left="5040" w:firstLine="0"/>
      </w:pPr>
    </w:lvl>
    <w:lvl w:ilvl="8" w:tentative="0">
      <w:start w:val="1"/>
      <w:numFmt w:val="lowerRoman"/>
      <w:pStyle w:val="11"/>
      <w:lvlText w:val="(%9)"/>
      <w:lvlJc w:val="left"/>
      <w:pPr>
        <w:tabs>
          <w:tab w:val="left" w:pos="6120"/>
        </w:tabs>
        <w:ind w:left="5760" w:firstLine="0"/>
      </w:pPr>
    </w:lvl>
  </w:abstractNum>
  <w:abstractNum w:abstractNumId="12">
    <w:nsid w:val="3BE331A9"/>
    <w:multiLevelType w:val="multilevel"/>
    <w:tmpl w:val="3BE331A9"/>
    <w:lvl w:ilvl="0" w:tentative="0">
      <w:start w:val="1"/>
      <w:numFmt w:val="decimal"/>
      <w:pStyle w:val="159"/>
      <w:lvlText w:val="w%1."/>
      <w:lvlJc w:val="left"/>
      <w:pPr>
        <w:tabs>
          <w:tab w:val="left" w:pos="1800"/>
        </w:tabs>
        <w:ind w:left="144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2160"/>
        </w:tabs>
        <w:ind w:left="216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880"/>
        </w:tabs>
        <w:ind w:left="2880" w:hanging="180"/>
      </w:pPr>
    </w:lvl>
    <w:lvl w:ilvl="3" w:tentative="0">
      <w:start w:val="1"/>
      <w:numFmt w:val="decimal"/>
      <w:lvlText w:val="%4."/>
      <w:lvlJc w:val="left"/>
      <w:pPr>
        <w:tabs>
          <w:tab w:val="left" w:pos="3600"/>
        </w:tabs>
        <w:ind w:left="360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4320"/>
        </w:tabs>
        <w:ind w:left="432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5040"/>
        </w:tabs>
        <w:ind w:left="5040" w:hanging="180"/>
      </w:pPr>
    </w:lvl>
    <w:lvl w:ilvl="6" w:tentative="0">
      <w:start w:val="1"/>
      <w:numFmt w:val="decimal"/>
      <w:lvlText w:val="%7."/>
      <w:lvlJc w:val="left"/>
      <w:pPr>
        <w:tabs>
          <w:tab w:val="left" w:pos="5760"/>
        </w:tabs>
        <w:ind w:left="576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6480"/>
        </w:tabs>
        <w:ind w:left="648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7200"/>
        </w:tabs>
        <w:ind w:left="7200" w:hanging="180"/>
      </w:pPr>
    </w:lvl>
  </w:abstractNum>
  <w:abstractNum w:abstractNumId="13">
    <w:nsid w:val="475F5548"/>
    <w:multiLevelType w:val="multilevel"/>
    <w:tmpl w:val="475F5548"/>
    <w:lvl w:ilvl="0" w:tentative="0">
      <w:start w:val="1"/>
      <w:numFmt w:val="lowerLetter"/>
      <w:lvlText w:val="%1)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A360E7"/>
    <w:multiLevelType w:val="multilevel"/>
    <w:tmpl w:val="56A360E7"/>
    <w:lvl w:ilvl="0" w:tentative="0">
      <w:start w:val="1"/>
      <w:numFmt w:val="decimal"/>
      <w:pStyle w:val="144"/>
      <w:lvlText w:val="%1."/>
      <w:lvlJc w:val="right"/>
      <w:pPr>
        <w:tabs>
          <w:tab w:val="left" w:pos="454"/>
        </w:tabs>
        <w:ind w:left="454" w:hanging="17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hint="default"/>
      </w:rPr>
    </w:lvl>
  </w:abstractNum>
  <w:abstractNum w:abstractNumId="15">
    <w:nsid w:val="6160701F"/>
    <w:multiLevelType w:val="multilevel"/>
    <w:tmpl w:val="6160701F"/>
    <w:lvl w:ilvl="0" w:tentative="0">
      <w:start w:val="1"/>
      <w:numFmt w:val="decimal"/>
      <w:pStyle w:val="153"/>
      <w:lvlText w:val="Table %1 - "/>
      <w:lvlJc w:val="left"/>
      <w:pPr>
        <w:tabs>
          <w:tab w:val="left" w:pos="1440"/>
        </w:tabs>
        <w:ind w:left="0" w:firstLine="0"/>
      </w:pPr>
      <w:rPr>
        <w:rFonts w:hint="default"/>
        <w:color w:val="0000FF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1"/>
  </w:num>
  <w:num w:numId="2">
    <w:abstractNumId w:val="3"/>
  </w:num>
  <w:num w:numId="3">
    <w:abstractNumId w:val="5"/>
  </w:num>
  <w:num w:numId="4">
    <w:abstractNumId w:val="8"/>
  </w:num>
  <w:num w:numId="5">
    <w:abstractNumId w:val="9"/>
  </w:num>
  <w:num w:numId="6">
    <w:abstractNumId w:val="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0"/>
  </w:num>
  <w:num w:numId="12">
    <w:abstractNumId w:val="10"/>
  </w:num>
  <w:num w:numId="13">
    <w:abstractNumId w:val="14"/>
  </w:num>
  <w:num w:numId="14">
    <w:abstractNumId w:val="15"/>
  </w:num>
  <w:num w:numId="15">
    <w:abstractNumId w:val="12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rawingGridHorizontalSpacing w:val="1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1ABE"/>
    <w:rsid w:val="00002974"/>
    <w:rsid w:val="00005F0F"/>
    <w:rsid w:val="00023515"/>
    <w:rsid w:val="00071EDD"/>
    <w:rsid w:val="00072F41"/>
    <w:rsid w:val="00093E3A"/>
    <w:rsid w:val="000B6FD4"/>
    <w:rsid w:val="000E3193"/>
    <w:rsid w:val="000E691B"/>
    <w:rsid w:val="000F26ED"/>
    <w:rsid w:val="00110BFB"/>
    <w:rsid w:val="00134AAC"/>
    <w:rsid w:val="00191A23"/>
    <w:rsid w:val="001A495C"/>
    <w:rsid w:val="001A75E9"/>
    <w:rsid w:val="001D78FC"/>
    <w:rsid w:val="001E02AD"/>
    <w:rsid w:val="0021265E"/>
    <w:rsid w:val="00215E03"/>
    <w:rsid w:val="00224268"/>
    <w:rsid w:val="0022554A"/>
    <w:rsid w:val="00226A29"/>
    <w:rsid w:val="002552FD"/>
    <w:rsid w:val="002602FB"/>
    <w:rsid w:val="002B385C"/>
    <w:rsid w:val="002C731D"/>
    <w:rsid w:val="002D06D0"/>
    <w:rsid w:val="002D1ABE"/>
    <w:rsid w:val="002F1A87"/>
    <w:rsid w:val="003354B7"/>
    <w:rsid w:val="003508EF"/>
    <w:rsid w:val="00372129"/>
    <w:rsid w:val="00385050"/>
    <w:rsid w:val="003A3FDD"/>
    <w:rsid w:val="00404D2C"/>
    <w:rsid w:val="004060E6"/>
    <w:rsid w:val="00407BEA"/>
    <w:rsid w:val="004243C8"/>
    <w:rsid w:val="0045419E"/>
    <w:rsid w:val="0045734B"/>
    <w:rsid w:val="00465542"/>
    <w:rsid w:val="00472DF5"/>
    <w:rsid w:val="00495204"/>
    <w:rsid w:val="004A31B3"/>
    <w:rsid w:val="004A32C8"/>
    <w:rsid w:val="004A54A0"/>
    <w:rsid w:val="004E1263"/>
    <w:rsid w:val="005044A6"/>
    <w:rsid w:val="00517788"/>
    <w:rsid w:val="00590F64"/>
    <w:rsid w:val="005923E5"/>
    <w:rsid w:val="005B567D"/>
    <w:rsid w:val="005D0CFC"/>
    <w:rsid w:val="005D19F4"/>
    <w:rsid w:val="005F220E"/>
    <w:rsid w:val="005F254A"/>
    <w:rsid w:val="006149D3"/>
    <w:rsid w:val="0065657F"/>
    <w:rsid w:val="00666336"/>
    <w:rsid w:val="00683E42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11D81"/>
    <w:rsid w:val="0074576C"/>
    <w:rsid w:val="00754BA5"/>
    <w:rsid w:val="007562C3"/>
    <w:rsid w:val="007C72F6"/>
    <w:rsid w:val="007F7FA0"/>
    <w:rsid w:val="00816966"/>
    <w:rsid w:val="00817D26"/>
    <w:rsid w:val="00821CD4"/>
    <w:rsid w:val="008423A7"/>
    <w:rsid w:val="008440CC"/>
    <w:rsid w:val="0089107E"/>
    <w:rsid w:val="00891604"/>
    <w:rsid w:val="008D225B"/>
    <w:rsid w:val="00921BF8"/>
    <w:rsid w:val="009367F9"/>
    <w:rsid w:val="009642BE"/>
    <w:rsid w:val="00976EE1"/>
    <w:rsid w:val="009872CC"/>
    <w:rsid w:val="009B10F1"/>
    <w:rsid w:val="009B368D"/>
    <w:rsid w:val="009C24D4"/>
    <w:rsid w:val="009E0429"/>
    <w:rsid w:val="009F5211"/>
    <w:rsid w:val="00A05594"/>
    <w:rsid w:val="00A060ED"/>
    <w:rsid w:val="00A13C96"/>
    <w:rsid w:val="00A42352"/>
    <w:rsid w:val="00A527E4"/>
    <w:rsid w:val="00A5640D"/>
    <w:rsid w:val="00A729D6"/>
    <w:rsid w:val="00A938BF"/>
    <w:rsid w:val="00AB7BC4"/>
    <w:rsid w:val="00AE23EB"/>
    <w:rsid w:val="00AE2C57"/>
    <w:rsid w:val="00AF4615"/>
    <w:rsid w:val="00B50DF8"/>
    <w:rsid w:val="00B54EA0"/>
    <w:rsid w:val="00B60EFB"/>
    <w:rsid w:val="00B65366"/>
    <w:rsid w:val="00B74CC2"/>
    <w:rsid w:val="00B77807"/>
    <w:rsid w:val="00B940E9"/>
    <w:rsid w:val="00BA1206"/>
    <w:rsid w:val="00BC7FE6"/>
    <w:rsid w:val="00BE3709"/>
    <w:rsid w:val="00CA489B"/>
    <w:rsid w:val="00CB6CC8"/>
    <w:rsid w:val="00CC4C93"/>
    <w:rsid w:val="00CF53A6"/>
    <w:rsid w:val="00D120D2"/>
    <w:rsid w:val="00D20D7C"/>
    <w:rsid w:val="00D26FCA"/>
    <w:rsid w:val="00D31AE2"/>
    <w:rsid w:val="00D6407C"/>
    <w:rsid w:val="00D87AF7"/>
    <w:rsid w:val="00DA120C"/>
    <w:rsid w:val="00DC4BEF"/>
    <w:rsid w:val="00E10628"/>
    <w:rsid w:val="00E144CD"/>
    <w:rsid w:val="00E2292B"/>
    <w:rsid w:val="00E341E9"/>
    <w:rsid w:val="00EA6E28"/>
    <w:rsid w:val="00EC0BFF"/>
    <w:rsid w:val="00F0752A"/>
    <w:rsid w:val="00F378D0"/>
    <w:rsid w:val="00F76A7F"/>
    <w:rsid w:val="00F838E1"/>
    <w:rsid w:val="00F842DC"/>
    <w:rsid w:val="00F876FF"/>
    <w:rsid w:val="00F93A89"/>
    <w:rsid w:val="00F970FA"/>
    <w:rsid w:val="00FA2721"/>
    <w:rsid w:val="00FA3D11"/>
    <w:rsid w:val="016435F8"/>
    <w:rsid w:val="1C5D691B"/>
    <w:rsid w:val="314D520B"/>
    <w:rsid w:val="411F73C9"/>
    <w:rsid w:val="6C5B59F4"/>
    <w:rsid w:val="6F373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nhideWhenUsed="0" w:uiPriority="0" w:name="index 3"/>
    <w:lsdException w:qFormat="1" w:unhideWhenUsed="0" w:uiPriority="0" w:name="index 4"/>
    <w:lsdException w:qFormat="1" w:unhideWhenUsed="0" w:uiPriority="0" w:name="index 5"/>
    <w:lsdException w:qFormat="1" w:unhideWhenUsed="0" w:uiPriority="0" w:name="index 6"/>
    <w:lsdException w:qFormat="1" w:unhideWhenUsed="0" w:uiPriority="0" w:name="index 7"/>
    <w:lsdException w:qFormat="1" w:unhideWhenUsed="0" w:uiPriority="0" w:name="index 8"/>
    <w:lsdException w:qFormat="1" w:unhideWhenUsed="0"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nhideWhenUsed="0" w:uiPriority="0" w:name="footnote text"/>
    <w:lsdException w:qFormat="1" w:unhideWhenUsed="0" w:uiPriority="0" w:name="annotation text"/>
    <w:lsdException w:unhideWhenUsed="0" w:uiPriority="99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iPriority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name="footnote reference"/>
    <w:lsdException w:unhideWhenUsed="0" w:uiPriority="0" w:name="annotation reference"/>
    <w:lsdException w:qFormat="1" w:unhideWhenUsed="0" w:uiPriority="0" w:semiHidden="0" w:name="line number"/>
    <w:lsdException w:unhideWhenUsed="0" w:uiPriority="0" w:semiHidden="0" w:name="page number"/>
    <w:lsdException w:unhideWhenUsed="0" w:uiPriority="0" w:name="endnote reference"/>
    <w:lsdException w:unhideWhenUsed="0" w:uiPriority="0" w:name="endnote text"/>
    <w:lsdException w:uiPriority="0" w:name="table of authorities"/>
    <w:lsdException w:qFormat="1" w:unhideWhenUsed="0"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iPriority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0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00" w:lineRule="exact"/>
    </w:pPr>
    <w:rPr>
      <w:rFonts w:ascii="Times New Roman" w:hAnsi="Times New Roman" w:eastAsia="Times New Roman" w:cs="Times New Roman"/>
      <w:sz w:val="24"/>
      <w:lang w:val="en-GB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5">
    <w:name w:val="heading 3"/>
    <w:basedOn w:val="1"/>
    <w:next w:val="1"/>
    <w:qFormat/>
    <w:uiPriority w:val="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hAnsi="Arial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7">
    <w:name w:val="heading 5"/>
    <w:basedOn w:val="1"/>
    <w:next w:val="1"/>
    <w:qFormat/>
    <w:uiPriority w:val="0"/>
    <w:pPr>
      <w:numPr>
        <w:ilvl w:val="4"/>
        <w:numId w:val="1"/>
      </w:numPr>
      <w:spacing w:before="240" w:after="60" w:line="240" w:lineRule="auto"/>
      <w:outlineLvl w:val="4"/>
    </w:pPr>
    <w:rPr>
      <w:sz w:val="22"/>
    </w:rPr>
  </w:style>
  <w:style w:type="paragraph" w:styleId="8">
    <w:name w:val="heading 6"/>
    <w:basedOn w:val="1"/>
    <w:next w:val="1"/>
    <w:qFormat/>
    <w:uiPriority w:val="0"/>
    <w:pPr>
      <w:numPr>
        <w:ilvl w:val="5"/>
        <w:numId w:val="1"/>
      </w:numPr>
      <w:spacing w:before="240" w:after="60" w:line="240" w:lineRule="auto"/>
      <w:outlineLvl w:val="5"/>
    </w:pPr>
    <w:rPr>
      <w:i/>
      <w:sz w:val="22"/>
    </w:rPr>
  </w:style>
  <w:style w:type="paragraph" w:styleId="9">
    <w:name w:val="heading 7"/>
    <w:basedOn w:val="1"/>
    <w:next w:val="1"/>
    <w:qFormat/>
    <w:uiPriority w:val="0"/>
    <w:pPr>
      <w:numPr>
        <w:ilvl w:val="6"/>
        <w:numId w:val="1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10">
    <w:name w:val="heading 8"/>
    <w:basedOn w:val="1"/>
    <w:next w:val="1"/>
    <w:qFormat/>
    <w:uiPriority w:val="0"/>
    <w:pPr>
      <w:numPr>
        <w:ilvl w:val="7"/>
        <w:numId w:val="1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11">
    <w:name w:val="heading 9"/>
    <w:basedOn w:val="1"/>
    <w:next w:val="1"/>
    <w:qFormat/>
    <w:uiPriority w:val="0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76">
    <w:name w:val="Default Paragraph Font"/>
    <w:semiHidden/>
    <w:unhideWhenUsed/>
    <w:uiPriority w:val="1"/>
  </w:style>
  <w:style w:type="table" w:default="1" w:styleId="7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semiHidden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styleId="12">
    <w:name w:val="List 3"/>
    <w:basedOn w:val="1"/>
    <w:qFormat/>
    <w:uiPriority w:val="0"/>
    <w:pPr>
      <w:ind w:left="849" w:hanging="283"/>
    </w:pPr>
  </w:style>
  <w:style w:type="paragraph" w:styleId="13">
    <w:name w:val="List Number 2"/>
    <w:basedOn w:val="1"/>
    <w:qFormat/>
    <w:uiPriority w:val="0"/>
    <w:pPr>
      <w:numPr>
        <w:ilvl w:val="0"/>
        <w:numId w:val="2"/>
      </w:numPr>
    </w:pPr>
  </w:style>
  <w:style w:type="paragraph" w:styleId="14">
    <w:name w:val="Note Heading"/>
    <w:basedOn w:val="1"/>
    <w:next w:val="1"/>
    <w:qFormat/>
    <w:uiPriority w:val="0"/>
  </w:style>
  <w:style w:type="paragraph" w:styleId="15">
    <w:name w:val="List Bullet 4"/>
    <w:basedOn w:val="1"/>
    <w:autoRedefine/>
    <w:qFormat/>
    <w:uiPriority w:val="0"/>
    <w:pPr>
      <w:numPr>
        <w:ilvl w:val="0"/>
        <w:numId w:val="3"/>
      </w:numPr>
    </w:pPr>
  </w:style>
  <w:style w:type="paragraph" w:styleId="16">
    <w:name w:val="index 8"/>
    <w:basedOn w:val="1"/>
    <w:next w:val="1"/>
    <w:autoRedefine/>
    <w:semiHidden/>
    <w:qFormat/>
    <w:uiPriority w:val="0"/>
    <w:pPr>
      <w:ind w:left="1920" w:hanging="240"/>
    </w:pPr>
  </w:style>
  <w:style w:type="paragraph" w:styleId="17">
    <w:name w:val="E-mail Signature"/>
    <w:basedOn w:val="1"/>
    <w:uiPriority w:val="0"/>
  </w:style>
  <w:style w:type="paragraph" w:styleId="18">
    <w:name w:val="List Number"/>
    <w:basedOn w:val="1"/>
    <w:qFormat/>
    <w:uiPriority w:val="0"/>
    <w:pPr>
      <w:numPr>
        <w:ilvl w:val="0"/>
        <w:numId w:val="4"/>
      </w:numPr>
    </w:pPr>
  </w:style>
  <w:style w:type="paragraph" w:styleId="19">
    <w:name w:val="Normal Indent"/>
    <w:basedOn w:val="1"/>
    <w:qFormat/>
    <w:uiPriority w:val="0"/>
    <w:pPr>
      <w:ind w:left="720"/>
    </w:pPr>
  </w:style>
  <w:style w:type="paragraph" w:styleId="20">
    <w:name w:val="caption"/>
    <w:basedOn w:val="1"/>
    <w:next w:val="1"/>
    <w:qFormat/>
    <w:uiPriority w:val="0"/>
    <w:pPr>
      <w:spacing w:before="120" w:after="120" w:line="240" w:lineRule="auto"/>
    </w:pPr>
    <w:rPr>
      <w:b/>
      <w:sz w:val="20"/>
    </w:rPr>
  </w:style>
  <w:style w:type="paragraph" w:styleId="21">
    <w:name w:val="index 5"/>
    <w:basedOn w:val="1"/>
    <w:next w:val="1"/>
    <w:autoRedefine/>
    <w:semiHidden/>
    <w:qFormat/>
    <w:uiPriority w:val="0"/>
    <w:pPr>
      <w:ind w:left="1200" w:hanging="240"/>
    </w:pPr>
  </w:style>
  <w:style w:type="paragraph" w:styleId="22">
    <w:name w:val="List Bullet"/>
    <w:basedOn w:val="1"/>
    <w:autoRedefine/>
    <w:uiPriority w:val="0"/>
    <w:pPr>
      <w:numPr>
        <w:ilvl w:val="0"/>
        <w:numId w:val="5"/>
      </w:numPr>
      <w:spacing w:line="240" w:lineRule="auto"/>
    </w:pPr>
  </w:style>
  <w:style w:type="paragraph" w:styleId="23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ind w:left="2880"/>
    </w:pPr>
    <w:rPr>
      <w:rFonts w:ascii="Arial" w:hAnsi="Arial"/>
      <w:szCs w:val="24"/>
    </w:rPr>
  </w:style>
  <w:style w:type="paragraph" w:styleId="24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5">
    <w:name w:val="annotation text"/>
    <w:basedOn w:val="1"/>
    <w:semiHidden/>
    <w:qFormat/>
    <w:uiPriority w:val="0"/>
    <w:pPr>
      <w:spacing w:line="240" w:lineRule="auto"/>
    </w:pPr>
    <w:rPr>
      <w:sz w:val="20"/>
    </w:rPr>
  </w:style>
  <w:style w:type="paragraph" w:styleId="26">
    <w:name w:val="index 6"/>
    <w:basedOn w:val="1"/>
    <w:next w:val="1"/>
    <w:autoRedefine/>
    <w:semiHidden/>
    <w:qFormat/>
    <w:uiPriority w:val="0"/>
    <w:pPr>
      <w:ind w:left="1440" w:hanging="240"/>
    </w:pPr>
  </w:style>
  <w:style w:type="paragraph" w:styleId="27">
    <w:name w:val="Salutation"/>
    <w:basedOn w:val="1"/>
    <w:next w:val="1"/>
    <w:uiPriority w:val="0"/>
  </w:style>
  <w:style w:type="paragraph" w:styleId="28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29">
    <w:name w:val="Closing"/>
    <w:basedOn w:val="1"/>
    <w:uiPriority w:val="0"/>
    <w:pPr>
      <w:ind w:left="4252"/>
    </w:pPr>
  </w:style>
  <w:style w:type="paragraph" w:styleId="30">
    <w:name w:val="List Bullet 3"/>
    <w:basedOn w:val="1"/>
    <w:autoRedefine/>
    <w:qFormat/>
    <w:uiPriority w:val="0"/>
    <w:pPr>
      <w:numPr>
        <w:ilvl w:val="0"/>
        <w:numId w:val="6"/>
      </w:numPr>
    </w:pPr>
  </w:style>
  <w:style w:type="paragraph" w:styleId="31">
    <w:name w:val="Body Text"/>
    <w:basedOn w:val="1"/>
    <w:uiPriority w:val="0"/>
    <w:pPr>
      <w:spacing w:after="120"/>
    </w:pPr>
  </w:style>
  <w:style w:type="paragraph" w:styleId="32">
    <w:name w:val="Body Text Indent"/>
    <w:basedOn w:val="1"/>
    <w:uiPriority w:val="0"/>
    <w:pPr>
      <w:spacing w:after="120"/>
      <w:ind w:left="283"/>
    </w:pPr>
  </w:style>
  <w:style w:type="paragraph" w:styleId="33">
    <w:name w:val="List Number 3"/>
    <w:basedOn w:val="1"/>
    <w:qFormat/>
    <w:uiPriority w:val="0"/>
    <w:pPr>
      <w:numPr>
        <w:ilvl w:val="0"/>
        <w:numId w:val="7"/>
      </w:numPr>
    </w:pPr>
  </w:style>
  <w:style w:type="paragraph" w:styleId="34">
    <w:name w:val="List 2"/>
    <w:basedOn w:val="1"/>
    <w:qFormat/>
    <w:uiPriority w:val="0"/>
    <w:pPr>
      <w:ind w:left="566" w:hanging="283"/>
    </w:pPr>
  </w:style>
  <w:style w:type="paragraph" w:styleId="35">
    <w:name w:val="List Continue"/>
    <w:basedOn w:val="1"/>
    <w:qFormat/>
    <w:uiPriority w:val="0"/>
    <w:pPr>
      <w:spacing w:after="120"/>
      <w:ind w:left="283"/>
    </w:pPr>
  </w:style>
  <w:style w:type="paragraph" w:styleId="36">
    <w:name w:val="Block Text"/>
    <w:basedOn w:val="1"/>
    <w:qFormat/>
    <w:uiPriority w:val="0"/>
    <w:pPr>
      <w:spacing w:after="120"/>
      <w:ind w:left="1440" w:right="1440"/>
    </w:pPr>
  </w:style>
  <w:style w:type="paragraph" w:styleId="37">
    <w:name w:val="List Bullet 2"/>
    <w:basedOn w:val="1"/>
    <w:autoRedefine/>
    <w:qFormat/>
    <w:uiPriority w:val="0"/>
    <w:pPr>
      <w:numPr>
        <w:ilvl w:val="0"/>
        <w:numId w:val="8"/>
      </w:numPr>
    </w:pPr>
  </w:style>
  <w:style w:type="paragraph" w:styleId="38">
    <w:name w:val="HTML Address"/>
    <w:basedOn w:val="1"/>
    <w:qFormat/>
    <w:uiPriority w:val="0"/>
    <w:rPr>
      <w:i/>
      <w:iCs/>
    </w:rPr>
  </w:style>
  <w:style w:type="paragraph" w:styleId="39">
    <w:name w:val="index 4"/>
    <w:basedOn w:val="1"/>
    <w:next w:val="1"/>
    <w:autoRedefine/>
    <w:semiHidden/>
    <w:qFormat/>
    <w:uiPriority w:val="0"/>
    <w:pPr>
      <w:ind w:left="960" w:hanging="240"/>
    </w:pPr>
  </w:style>
  <w:style w:type="paragraph" w:styleId="40">
    <w:name w:val="Plain Text"/>
    <w:basedOn w:val="1"/>
    <w:qFormat/>
    <w:uiPriority w:val="0"/>
    <w:rPr>
      <w:rFonts w:ascii="Courier New" w:hAnsi="Courier New"/>
      <w:sz w:val="20"/>
    </w:rPr>
  </w:style>
  <w:style w:type="paragraph" w:styleId="41">
    <w:name w:val="List Bullet 5"/>
    <w:basedOn w:val="1"/>
    <w:autoRedefine/>
    <w:qFormat/>
    <w:uiPriority w:val="0"/>
    <w:pPr>
      <w:numPr>
        <w:ilvl w:val="0"/>
        <w:numId w:val="9"/>
      </w:numPr>
    </w:pPr>
  </w:style>
  <w:style w:type="paragraph" w:styleId="42">
    <w:name w:val="List Number 4"/>
    <w:basedOn w:val="1"/>
    <w:qFormat/>
    <w:uiPriority w:val="0"/>
    <w:pPr>
      <w:numPr>
        <w:ilvl w:val="0"/>
        <w:numId w:val="10"/>
      </w:numPr>
    </w:pPr>
  </w:style>
  <w:style w:type="paragraph" w:styleId="43">
    <w:name w:val="index 3"/>
    <w:basedOn w:val="1"/>
    <w:next w:val="1"/>
    <w:autoRedefine/>
    <w:semiHidden/>
    <w:qFormat/>
    <w:uiPriority w:val="0"/>
    <w:pPr>
      <w:ind w:left="720" w:hanging="240"/>
    </w:pPr>
  </w:style>
  <w:style w:type="paragraph" w:styleId="44">
    <w:name w:val="Date"/>
    <w:basedOn w:val="1"/>
    <w:next w:val="1"/>
    <w:qFormat/>
    <w:uiPriority w:val="0"/>
    <w:pPr>
      <w:spacing w:line="240" w:lineRule="auto"/>
    </w:pPr>
  </w:style>
  <w:style w:type="paragraph" w:styleId="45">
    <w:name w:val="Body Text Indent 2"/>
    <w:basedOn w:val="1"/>
    <w:qFormat/>
    <w:uiPriority w:val="0"/>
    <w:pPr>
      <w:spacing w:after="120" w:line="480" w:lineRule="auto"/>
      <w:ind w:left="283"/>
    </w:pPr>
  </w:style>
  <w:style w:type="paragraph" w:styleId="46">
    <w:name w:val="endnote text"/>
    <w:basedOn w:val="1"/>
    <w:semiHidden/>
    <w:uiPriority w:val="0"/>
    <w:pPr>
      <w:spacing w:line="240" w:lineRule="auto"/>
    </w:pPr>
    <w:rPr>
      <w:sz w:val="20"/>
    </w:rPr>
  </w:style>
  <w:style w:type="paragraph" w:styleId="47">
    <w:name w:val="List Continue 5"/>
    <w:basedOn w:val="1"/>
    <w:qFormat/>
    <w:uiPriority w:val="0"/>
    <w:pPr>
      <w:spacing w:after="120"/>
      <w:ind w:left="1415"/>
    </w:pPr>
  </w:style>
  <w:style w:type="paragraph" w:styleId="48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49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paragraph" w:styleId="50">
    <w:name w:val="envelope return"/>
    <w:basedOn w:val="1"/>
    <w:qFormat/>
    <w:uiPriority w:val="0"/>
    <w:rPr>
      <w:rFonts w:ascii="Arial" w:hAnsi="Arial"/>
      <w:sz w:val="20"/>
    </w:rPr>
  </w:style>
  <w:style w:type="paragraph" w:styleId="51">
    <w:name w:val="header"/>
    <w:basedOn w:val="1"/>
    <w:link w:val="218"/>
    <w:uiPriority w:val="99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52">
    <w:name w:val="List Continue 4"/>
    <w:basedOn w:val="1"/>
    <w:qFormat/>
    <w:uiPriority w:val="0"/>
    <w:pPr>
      <w:spacing w:after="120"/>
      <w:ind w:left="1132"/>
    </w:pPr>
  </w:style>
  <w:style w:type="paragraph" w:styleId="53">
    <w:name w:val="index heading"/>
    <w:basedOn w:val="1"/>
    <w:next w:val="54"/>
    <w:semiHidden/>
    <w:qFormat/>
    <w:uiPriority w:val="0"/>
    <w:rPr>
      <w:rFonts w:ascii="Arial" w:hAnsi="Arial"/>
      <w:b/>
      <w:bCs/>
    </w:rPr>
  </w:style>
  <w:style w:type="paragraph" w:styleId="54">
    <w:name w:val="index 1"/>
    <w:basedOn w:val="1"/>
    <w:next w:val="1"/>
    <w:autoRedefine/>
    <w:semiHidden/>
    <w:qFormat/>
    <w:uiPriority w:val="0"/>
    <w:pPr>
      <w:ind w:left="240" w:hanging="240"/>
    </w:pPr>
  </w:style>
  <w:style w:type="paragraph" w:styleId="55">
    <w:name w:val="Subtitle"/>
    <w:basedOn w:val="1"/>
    <w:qFormat/>
    <w:uiPriority w:val="0"/>
    <w:pPr>
      <w:spacing w:after="60"/>
      <w:outlineLvl w:val="1"/>
    </w:pPr>
    <w:rPr>
      <w:i/>
    </w:rPr>
  </w:style>
  <w:style w:type="paragraph" w:styleId="56">
    <w:name w:val="List Number 5"/>
    <w:basedOn w:val="1"/>
    <w:qFormat/>
    <w:uiPriority w:val="0"/>
    <w:pPr>
      <w:numPr>
        <w:ilvl w:val="0"/>
        <w:numId w:val="11"/>
      </w:numPr>
    </w:pPr>
  </w:style>
  <w:style w:type="paragraph" w:styleId="57">
    <w:name w:val="List"/>
    <w:basedOn w:val="1"/>
    <w:qFormat/>
    <w:uiPriority w:val="0"/>
    <w:pPr>
      <w:ind w:left="283" w:hanging="283"/>
    </w:pPr>
  </w:style>
  <w:style w:type="paragraph" w:styleId="58">
    <w:name w:val="footnote text"/>
    <w:basedOn w:val="1"/>
    <w:semiHidden/>
    <w:uiPriority w:val="0"/>
    <w:pPr>
      <w:spacing w:line="240" w:lineRule="auto"/>
    </w:pPr>
    <w:rPr>
      <w:sz w:val="20"/>
    </w:rPr>
  </w:style>
  <w:style w:type="paragraph" w:styleId="59">
    <w:name w:val="List 5"/>
    <w:basedOn w:val="1"/>
    <w:qFormat/>
    <w:uiPriority w:val="0"/>
    <w:pPr>
      <w:ind w:left="1415" w:hanging="283"/>
    </w:pPr>
  </w:style>
  <w:style w:type="paragraph" w:styleId="60">
    <w:name w:val="Body Text Indent 3"/>
    <w:basedOn w:val="1"/>
    <w:qFormat/>
    <w:uiPriority w:val="0"/>
    <w:pPr>
      <w:spacing w:after="120"/>
      <w:ind w:left="283"/>
    </w:pPr>
    <w:rPr>
      <w:sz w:val="16"/>
      <w:szCs w:val="16"/>
    </w:rPr>
  </w:style>
  <w:style w:type="paragraph" w:styleId="61">
    <w:name w:val="index 7"/>
    <w:basedOn w:val="1"/>
    <w:next w:val="1"/>
    <w:autoRedefine/>
    <w:semiHidden/>
    <w:qFormat/>
    <w:uiPriority w:val="0"/>
    <w:pPr>
      <w:ind w:left="1680" w:hanging="240"/>
    </w:pPr>
  </w:style>
  <w:style w:type="paragraph" w:styleId="62">
    <w:name w:val="index 9"/>
    <w:basedOn w:val="1"/>
    <w:next w:val="1"/>
    <w:autoRedefine/>
    <w:semiHidden/>
    <w:qFormat/>
    <w:uiPriority w:val="0"/>
    <w:pPr>
      <w:ind w:left="2160" w:hanging="240"/>
    </w:pPr>
  </w:style>
  <w:style w:type="paragraph" w:styleId="63">
    <w:name w:val="Body Text 2"/>
    <w:basedOn w:val="1"/>
    <w:uiPriority w:val="0"/>
    <w:pPr>
      <w:spacing w:after="120" w:line="480" w:lineRule="auto"/>
    </w:pPr>
  </w:style>
  <w:style w:type="paragraph" w:styleId="64">
    <w:name w:val="List 4"/>
    <w:basedOn w:val="1"/>
    <w:qFormat/>
    <w:uiPriority w:val="0"/>
    <w:pPr>
      <w:ind w:left="1132" w:hanging="283"/>
    </w:pPr>
  </w:style>
  <w:style w:type="paragraph" w:styleId="65">
    <w:name w:val="List Continue 2"/>
    <w:basedOn w:val="1"/>
    <w:qFormat/>
    <w:uiPriority w:val="0"/>
    <w:pPr>
      <w:spacing w:after="120"/>
      <w:ind w:left="566"/>
    </w:pPr>
  </w:style>
  <w:style w:type="paragraph" w:styleId="66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67">
    <w:name w:val="HTML Preformatted"/>
    <w:basedOn w:val="1"/>
    <w:qFormat/>
    <w:uiPriority w:val="0"/>
    <w:rPr>
      <w:rFonts w:ascii="Courier New" w:hAnsi="Courier New"/>
      <w:sz w:val="20"/>
    </w:rPr>
  </w:style>
  <w:style w:type="paragraph" w:styleId="68">
    <w:name w:val="Normal (Web)"/>
    <w:basedOn w:val="1"/>
    <w:qFormat/>
    <w:uiPriority w:val="0"/>
    <w:rPr>
      <w:szCs w:val="24"/>
    </w:rPr>
  </w:style>
  <w:style w:type="paragraph" w:styleId="69">
    <w:name w:val="List Continue 3"/>
    <w:basedOn w:val="1"/>
    <w:qFormat/>
    <w:uiPriority w:val="0"/>
    <w:pPr>
      <w:spacing w:after="120"/>
      <w:ind w:left="849"/>
    </w:pPr>
  </w:style>
  <w:style w:type="paragraph" w:styleId="70">
    <w:name w:val="index 2"/>
    <w:basedOn w:val="1"/>
    <w:next w:val="1"/>
    <w:autoRedefine/>
    <w:semiHidden/>
    <w:qFormat/>
    <w:uiPriority w:val="0"/>
    <w:pPr>
      <w:ind w:left="480" w:hanging="240"/>
    </w:pPr>
  </w:style>
  <w:style w:type="paragraph" w:styleId="71">
    <w:name w:val="Title"/>
    <w:basedOn w:val="1"/>
    <w:qFormat/>
    <w:uiPriority w:val="0"/>
    <w:pPr>
      <w:spacing w:before="60" w:after="60"/>
      <w:outlineLvl w:val="0"/>
    </w:pPr>
    <w:rPr>
      <w:b/>
      <w:sz w:val="28"/>
    </w:rPr>
  </w:style>
  <w:style w:type="paragraph" w:styleId="72">
    <w:name w:val="annotation subject"/>
    <w:basedOn w:val="25"/>
    <w:next w:val="25"/>
    <w:semiHidden/>
    <w:uiPriority w:val="0"/>
    <w:pPr>
      <w:spacing w:line="300" w:lineRule="exact"/>
    </w:pPr>
    <w:rPr>
      <w:b/>
      <w:bCs/>
    </w:rPr>
  </w:style>
  <w:style w:type="paragraph" w:styleId="73">
    <w:name w:val="Body Text First Indent"/>
    <w:basedOn w:val="31"/>
    <w:uiPriority w:val="0"/>
    <w:pPr>
      <w:ind w:firstLine="210"/>
    </w:pPr>
  </w:style>
  <w:style w:type="paragraph" w:styleId="74">
    <w:name w:val="Body Text First Indent 2"/>
    <w:basedOn w:val="32"/>
    <w:uiPriority w:val="0"/>
    <w:pPr>
      <w:ind w:firstLine="210"/>
    </w:pPr>
  </w:style>
  <w:style w:type="character" w:styleId="77">
    <w:name w:val="endnote reference"/>
    <w:basedOn w:val="76"/>
    <w:semiHidden/>
    <w:uiPriority w:val="0"/>
    <w:rPr>
      <w:vertAlign w:val="superscript"/>
    </w:rPr>
  </w:style>
  <w:style w:type="character" w:styleId="78">
    <w:name w:val="page number"/>
    <w:basedOn w:val="76"/>
    <w:uiPriority w:val="0"/>
  </w:style>
  <w:style w:type="character" w:styleId="79">
    <w:name w:val="FollowedHyperlink"/>
    <w:basedOn w:val="76"/>
    <w:qFormat/>
    <w:uiPriority w:val="0"/>
    <w:rPr>
      <w:color w:val="800080"/>
      <w:u w:val="single"/>
    </w:rPr>
  </w:style>
  <w:style w:type="character" w:styleId="80">
    <w:name w:val="Emphasis"/>
    <w:basedOn w:val="76"/>
    <w:qFormat/>
    <w:uiPriority w:val="0"/>
    <w:rPr>
      <w:i/>
      <w:iCs/>
    </w:rPr>
  </w:style>
  <w:style w:type="character" w:styleId="81">
    <w:name w:val="line number"/>
    <w:basedOn w:val="76"/>
    <w:qFormat/>
    <w:uiPriority w:val="0"/>
  </w:style>
  <w:style w:type="character" w:styleId="82">
    <w:name w:val="HTML Definition"/>
    <w:basedOn w:val="76"/>
    <w:qFormat/>
    <w:uiPriority w:val="0"/>
    <w:rPr>
      <w:i/>
      <w:iCs/>
    </w:rPr>
  </w:style>
  <w:style w:type="character" w:styleId="83">
    <w:name w:val="HTML Typewriter"/>
    <w:basedOn w:val="76"/>
    <w:qFormat/>
    <w:uiPriority w:val="0"/>
    <w:rPr>
      <w:rFonts w:ascii="Courier New" w:hAnsi="Courier New"/>
      <w:sz w:val="20"/>
      <w:szCs w:val="20"/>
    </w:rPr>
  </w:style>
  <w:style w:type="character" w:styleId="84">
    <w:name w:val="HTML Acronym"/>
    <w:basedOn w:val="76"/>
    <w:qFormat/>
    <w:uiPriority w:val="0"/>
  </w:style>
  <w:style w:type="character" w:styleId="85">
    <w:name w:val="HTML Variable"/>
    <w:basedOn w:val="76"/>
    <w:qFormat/>
    <w:uiPriority w:val="0"/>
    <w:rPr>
      <w:i/>
      <w:iCs/>
    </w:rPr>
  </w:style>
  <w:style w:type="character" w:styleId="86">
    <w:name w:val="Hyperlink"/>
    <w:basedOn w:val="76"/>
    <w:qFormat/>
    <w:uiPriority w:val="0"/>
    <w:rPr>
      <w:color w:val="0000FF"/>
      <w:u w:val="single"/>
    </w:rPr>
  </w:style>
  <w:style w:type="character" w:styleId="87">
    <w:name w:val="HTML Code"/>
    <w:basedOn w:val="76"/>
    <w:qFormat/>
    <w:uiPriority w:val="0"/>
    <w:rPr>
      <w:rFonts w:ascii="Courier New" w:hAnsi="Courier New"/>
      <w:sz w:val="20"/>
      <w:szCs w:val="20"/>
    </w:rPr>
  </w:style>
  <w:style w:type="character" w:styleId="88">
    <w:name w:val="annotation reference"/>
    <w:basedOn w:val="76"/>
    <w:semiHidden/>
    <w:uiPriority w:val="0"/>
    <w:rPr>
      <w:sz w:val="16"/>
    </w:rPr>
  </w:style>
  <w:style w:type="character" w:styleId="89">
    <w:name w:val="HTML Cite"/>
    <w:basedOn w:val="76"/>
    <w:qFormat/>
    <w:uiPriority w:val="0"/>
    <w:rPr>
      <w:i/>
      <w:iCs/>
    </w:rPr>
  </w:style>
  <w:style w:type="character" w:styleId="90">
    <w:name w:val="footnote reference"/>
    <w:basedOn w:val="76"/>
    <w:semiHidden/>
    <w:qFormat/>
    <w:uiPriority w:val="0"/>
    <w:rPr>
      <w:vertAlign w:val="superscript"/>
    </w:rPr>
  </w:style>
  <w:style w:type="character" w:styleId="91">
    <w:name w:val="HTML Keyboard"/>
    <w:basedOn w:val="76"/>
    <w:qFormat/>
    <w:uiPriority w:val="0"/>
    <w:rPr>
      <w:rFonts w:ascii="Courier New" w:hAnsi="Courier New"/>
      <w:sz w:val="20"/>
      <w:szCs w:val="20"/>
    </w:rPr>
  </w:style>
  <w:style w:type="character" w:styleId="92">
    <w:name w:val="HTML Sample"/>
    <w:basedOn w:val="76"/>
    <w:qFormat/>
    <w:uiPriority w:val="0"/>
    <w:rPr>
      <w:rFonts w:ascii="Courier New" w:hAnsi="Courier New"/>
    </w:rPr>
  </w:style>
  <w:style w:type="paragraph" w:customStyle="1" w:styleId="93">
    <w:name w:val="AmendmentNote"/>
    <w:basedOn w:val="94"/>
    <w:uiPriority w:val="0"/>
  </w:style>
  <w:style w:type="paragraph" w:customStyle="1" w:styleId="94">
    <w:name w:val="MoreInfo"/>
    <w:basedOn w:val="1"/>
    <w:uiPriority w:val="0"/>
    <w:pPr>
      <w:spacing w:before="120" w:line="240" w:lineRule="auto"/>
    </w:pPr>
  </w:style>
  <w:style w:type="paragraph" w:customStyle="1" w:styleId="95">
    <w:name w:val="Abbreviations"/>
    <w:basedOn w:val="1"/>
    <w:uiPriority w:val="0"/>
    <w:pPr>
      <w:spacing w:line="240" w:lineRule="auto"/>
    </w:pPr>
  </w:style>
  <w:style w:type="paragraph" w:customStyle="1" w:styleId="96">
    <w:name w:val="AbstractPara"/>
    <w:basedOn w:val="1"/>
    <w:uiPriority w:val="0"/>
    <w:pPr>
      <w:spacing w:line="240" w:lineRule="auto"/>
    </w:pPr>
  </w:style>
  <w:style w:type="paragraph" w:customStyle="1" w:styleId="97">
    <w:name w:val="AbstractTitle"/>
    <w:basedOn w:val="1"/>
    <w:next w:val="96"/>
    <w:qFormat/>
    <w:uiPriority w:val="0"/>
    <w:pPr>
      <w:spacing w:before="120" w:line="240" w:lineRule="exact"/>
      <w:outlineLvl w:val="1"/>
    </w:pPr>
    <w:rPr>
      <w:b/>
      <w:sz w:val="26"/>
    </w:rPr>
  </w:style>
  <w:style w:type="paragraph" w:customStyle="1" w:styleId="98">
    <w:name w:val="Accepted"/>
    <w:basedOn w:val="1"/>
    <w:qFormat/>
    <w:uiPriority w:val="0"/>
    <w:pPr>
      <w:spacing w:before="120" w:line="240" w:lineRule="exact"/>
    </w:pPr>
  </w:style>
  <w:style w:type="paragraph" w:customStyle="1" w:styleId="99">
    <w:name w:val="Acknowledge"/>
    <w:basedOn w:val="1"/>
    <w:uiPriority w:val="0"/>
    <w:pPr>
      <w:spacing w:line="240" w:lineRule="auto"/>
    </w:pPr>
  </w:style>
  <w:style w:type="paragraph" w:customStyle="1" w:styleId="100">
    <w:name w:val="Address"/>
    <w:basedOn w:val="1"/>
    <w:uiPriority w:val="0"/>
    <w:pPr>
      <w:spacing w:before="80" w:line="240" w:lineRule="auto"/>
    </w:pPr>
    <w:rPr>
      <w:b/>
    </w:rPr>
  </w:style>
  <w:style w:type="paragraph" w:customStyle="1" w:styleId="101">
    <w:name w:val="Author"/>
    <w:basedOn w:val="1"/>
    <w:next w:val="1"/>
    <w:uiPriority w:val="0"/>
    <w:pPr>
      <w:spacing w:before="80" w:line="240" w:lineRule="auto"/>
    </w:pPr>
  </w:style>
  <w:style w:type="paragraph" w:customStyle="1" w:styleId="102">
    <w:name w:val="AuthoredBy"/>
    <w:basedOn w:val="1"/>
    <w:uiPriority w:val="0"/>
    <w:pPr>
      <w:spacing w:line="240" w:lineRule="auto"/>
    </w:pPr>
  </w:style>
  <w:style w:type="paragraph" w:customStyle="1" w:styleId="103">
    <w:name w:val="Banner"/>
    <w:basedOn w:val="1"/>
    <w:uiPriority w:val="0"/>
    <w:pPr>
      <w:spacing w:before="120" w:line="280" w:lineRule="exact"/>
    </w:pPr>
    <w:rPr>
      <w:i/>
      <w:sz w:val="28"/>
    </w:rPr>
  </w:style>
  <w:style w:type="paragraph" w:customStyle="1" w:styleId="104">
    <w:name w:val="BoxEnd"/>
    <w:basedOn w:val="1"/>
    <w:uiPriority w:val="0"/>
    <w:pPr>
      <w:pBdr>
        <w:bottom w:val="single" w:color="auto" w:sz="12" w:space="1"/>
        <w:right w:val="single" w:color="auto" w:sz="12" w:space="1"/>
      </w:pBdr>
      <w:spacing w:after="120" w:line="240" w:lineRule="auto"/>
    </w:pPr>
  </w:style>
  <w:style w:type="paragraph" w:customStyle="1" w:styleId="105">
    <w:name w:val="BoxStart1"/>
    <w:basedOn w:val="1"/>
    <w:uiPriority w:val="0"/>
    <w:pPr>
      <w:pBdr>
        <w:top w:val="single" w:color="auto" w:sz="12" w:space="1"/>
        <w:left w:val="single" w:color="auto" w:sz="12" w:space="1"/>
      </w:pBdr>
      <w:spacing w:line="240" w:lineRule="auto"/>
    </w:pPr>
  </w:style>
  <w:style w:type="paragraph" w:customStyle="1" w:styleId="106">
    <w:name w:val="BoxStart2"/>
    <w:basedOn w:val="105"/>
    <w:uiPriority w:val="0"/>
  </w:style>
  <w:style w:type="paragraph" w:customStyle="1" w:styleId="107">
    <w:name w:val="BoxStart3"/>
    <w:basedOn w:val="105"/>
    <w:qFormat/>
    <w:uiPriority w:val="0"/>
  </w:style>
  <w:style w:type="paragraph" w:customStyle="1" w:styleId="108">
    <w:name w:val="Conflict"/>
    <w:basedOn w:val="1"/>
    <w:uiPriority w:val="0"/>
    <w:pPr>
      <w:spacing w:before="120" w:after="120" w:line="240" w:lineRule="auto"/>
    </w:pPr>
  </w:style>
  <w:style w:type="paragraph" w:customStyle="1" w:styleId="109">
    <w:name w:val="Correspdent"/>
    <w:basedOn w:val="1"/>
    <w:uiPriority w:val="0"/>
    <w:pPr>
      <w:spacing w:line="240" w:lineRule="auto"/>
    </w:pPr>
  </w:style>
  <w:style w:type="paragraph" w:customStyle="1" w:styleId="110">
    <w:name w:val="Credit"/>
    <w:basedOn w:val="20"/>
    <w:qFormat/>
    <w:uiPriority w:val="0"/>
    <w:rPr>
      <w:sz w:val="18"/>
    </w:rPr>
  </w:style>
  <w:style w:type="paragraph" w:customStyle="1" w:styleId="111">
    <w:name w:val="Article"/>
    <w:basedOn w:val="1"/>
    <w:qFormat/>
    <w:uiPriority w:val="0"/>
    <w:pPr>
      <w:keepNext/>
      <w:suppressAutoHyphens/>
      <w:spacing w:before="120" w:after="60" w:line="240" w:lineRule="auto"/>
    </w:pPr>
    <w:rPr>
      <w:rFonts w:ascii="Arial" w:hAnsi="Arial"/>
      <w:b/>
      <w:sz w:val="18"/>
    </w:rPr>
  </w:style>
  <w:style w:type="paragraph" w:customStyle="1" w:styleId="112">
    <w:name w:val="Para"/>
    <w:basedOn w:val="1"/>
    <w:qFormat/>
    <w:uiPriority w:val="0"/>
    <w:pPr>
      <w:spacing w:line="360" w:lineRule="auto"/>
      <w:ind w:firstLine="288"/>
    </w:pPr>
  </w:style>
  <w:style w:type="paragraph" w:customStyle="1" w:styleId="113">
    <w:name w:val="EdFtNote"/>
    <w:basedOn w:val="112"/>
    <w:qFormat/>
    <w:uiPriority w:val="0"/>
    <w:pPr>
      <w:spacing w:before="60"/>
      <w:ind w:firstLine="0"/>
    </w:pPr>
  </w:style>
  <w:style w:type="paragraph" w:customStyle="1" w:styleId="114">
    <w:name w:val="IndentQuote"/>
    <w:basedOn w:val="1"/>
    <w:qFormat/>
    <w:uiPriority w:val="0"/>
    <w:pPr>
      <w:spacing w:before="60" w:line="240" w:lineRule="exact"/>
      <w:ind w:left="288" w:right="288"/>
    </w:pPr>
  </w:style>
  <w:style w:type="paragraph" w:customStyle="1" w:styleId="115">
    <w:name w:val="Epigraph"/>
    <w:basedOn w:val="114"/>
    <w:uiPriority w:val="0"/>
  </w:style>
  <w:style w:type="paragraph" w:customStyle="1" w:styleId="116">
    <w:name w:val="Equation"/>
    <w:basedOn w:val="1"/>
    <w:qFormat/>
    <w:uiPriority w:val="0"/>
    <w:pPr>
      <w:spacing w:line="240" w:lineRule="auto"/>
    </w:pPr>
    <w:rPr>
      <w:b/>
      <w:i/>
    </w:rPr>
  </w:style>
  <w:style w:type="paragraph" w:customStyle="1" w:styleId="117">
    <w:name w:val="FigLeg"/>
    <w:basedOn w:val="1"/>
    <w:uiPriority w:val="0"/>
    <w:pPr>
      <w:spacing w:line="240" w:lineRule="auto"/>
    </w:pPr>
  </w:style>
  <w:style w:type="paragraph" w:customStyle="1" w:styleId="118">
    <w:name w:val="Figure"/>
    <w:basedOn w:val="1"/>
    <w:qFormat/>
    <w:uiPriority w:val="0"/>
    <w:pPr>
      <w:numPr>
        <w:ilvl w:val="0"/>
        <w:numId w:val="12"/>
      </w:numPr>
      <w:tabs>
        <w:tab w:val="left" w:pos="720"/>
        <w:tab w:val="clear" w:pos="2160"/>
      </w:tabs>
      <w:ind w:left="0" w:firstLine="0"/>
    </w:pPr>
    <w:rPr>
      <w:b/>
    </w:rPr>
  </w:style>
  <w:style w:type="character" w:customStyle="1" w:styleId="119">
    <w:name w:val="FigureRef"/>
    <w:basedOn w:val="76"/>
    <w:uiPriority w:val="0"/>
    <w:rPr>
      <w:color w:val="0000FF"/>
      <w:vertAlign w:val="superscript"/>
    </w:rPr>
  </w:style>
  <w:style w:type="character" w:customStyle="1" w:styleId="120">
    <w:name w:val="FnoteRef"/>
    <w:basedOn w:val="76"/>
    <w:uiPriority w:val="0"/>
    <w:rPr>
      <w:color w:val="FF0000"/>
      <w:vertAlign w:val="superscript"/>
    </w:rPr>
  </w:style>
  <w:style w:type="paragraph" w:customStyle="1" w:styleId="121">
    <w:name w:val="Footnote"/>
    <w:basedOn w:val="1"/>
    <w:uiPriority w:val="0"/>
    <w:pPr>
      <w:spacing w:line="240" w:lineRule="auto"/>
    </w:pPr>
  </w:style>
  <w:style w:type="paragraph" w:customStyle="1" w:styleId="122">
    <w:name w:val="Funding"/>
    <w:basedOn w:val="1"/>
    <w:qFormat/>
    <w:uiPriority w:val="0"/>
    <w:pPr>
      <w:spacing w:after="120" w:line="240" w:lineRule="auto"/>
    </w:pPr>
  </w:style>
  <w:style w:type="paragraph" w:customStyle="1" w:styleId="123">
    <w:name w:val="GroupTitle"/>
    <w:basedOn w:val="71"/>
    <w:next w:val="71"/>
    <w:qFormat/>
    <w:uiPriority w:val="0"/>
  </w:style>
  <w:style w:type="paragraph" w:customStyle="1" w:styleId="124">
    <w:name w:val="HeadA"/>
    <w:basedOn w:val="1"/>
    <w:uiPriority w:val="0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125">
    <w:name w:val="HeadB"/>
    <w:basedOn w:val="1"/>
    <w:uiPriority w:val="0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126">
    <w:name w:val="HeadC"/>
    <w:basedOn w:val="1"/>
    <w:qFormat/>
    <w:uiPriority w:val="0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customStyle="1" w:styleId="127">
    <w:name w:val="Keywords"/>
    <w:basedOn w:val="1"/>
    <w:qFormat/>
    <w:uiPriority w:val="0"/>
    <w:pPr>
      <w:spacing w:line="240" w:lineRule="auto"/>
    </w:pPr>
  </w:style>
  <w:style w:type="paragraph" w:customStyle="1" w:styleId="128">
    <w:name w:val="List1"/>
    <w:basedOn w:val="1"/>
    <w:uiPriority w:val="0"/>
    <w:pPr>
      <w:spacing w:before="40" w:after="120" w:line="240" w:lineRule="exact"/>
    </w:pPr>
  </w:style>
  <w:style w:type="paragraph" w:customStyle="1" w:styleId="129">
    <w:name w:val="List2"/>
    <w:basedOn w:val="1"/>
    <w:uiPriority w:val="0"/>
    <w:pPr>
      <w:spacing w:before="40" w:line="240" w:lineRule="exact"/>
      <w:ind w:left="720"/>
    </w:pPr>
  </w:style>
  <w:style w:type="paragraph" w:customStyle="1" w:styleId="130">
    <w:name w:val="ListPara"/>
    <w:basedOn w:val="1"/>
    <w:qFormat/>
    <w:uiPriority w:val="0"/>
    <w:pPr>
      <w:spacing w:line="240" w:lineRule="auto"/>
      <w:ind w:left="720"/>
    </w:pPr>
  </w:style>
  <w:style w:type="paragraph" w:customStyle="1" w:styleId="131">
    <w:name w:val="Miscellaneous"/>
    <w:basedOn w:val="1"/>
    <w:uiPriority w:val="0"/>
    <w:pPr>
      <w:spacing w:before="120" w:line="240" w:lineRule="exact"/>
    </w:pPr>
  </w:style>
  <w:style w:type="paragraph" w:customStyle="1" w:styleId="132">
    <w:name w:val="MoreInfoWeb"/>
    <w:basedOn w:val="1"/>
    <w:uiPriority w:val="0"/>
    <w:pPr>
      <w:spacing w:before="120" w:line="240" w:lineRule="exact"/>
    </w:pPr>
  </w:style>
  <w:style w:type="character" w:customStyle="1" w:styleId="133">
    <w:name w:val="Noindex"/>
    <w:uiPriority w:val="0"/>
    <w:rPr>
      <w:color w:val="FF6600"/>
    </w:rPr>
  </w:style>
  <w:style w:type="paragraph" w:customStyle="1" w:styleId="134">
    <w:name w:val="ParaCont"/>
    <w:basedOn w:val="1"/>
    <w:uiPriority w:val="0"/>
    <w:pPr>
      <w:spacing w:line="360" w:lineRule="auto"/>
    </w:pPr>
  </w:style>
  <w:style w:type="paragraph" w:customStyle="1" w:styleId="135">
    <w:name w:val="HeadE"/>
    <w:basedOn w:val="136"/>
    <w:qFormat/>
    <w:uiPriority w:val="0"/>
    <w:rPr>
      <w:b w:val="0"/>
      <w:i/>
    </w:rPr>
  </w:style>
  <w:style w:type="paragraph" w:customStyle="1" w:styleId="136">
    <w:name w:val="HeadD"/>
    <w:basedOn w:val="125"/>
    <w:next w:val="1"/>
    <w:uiPriority w:val="0"/>
    <w:pPr>
      <w:outlineLvl w:val="4"/>
    </w:pPr>
    <w:rPr>
      <w:sz w:val="16"/>
    </w:rPr>
  </w:style>
  <w:style w:type="paragraph" w:customStyle="1" w:styleId="137">
    <w:name w:val="Participators"/>
    <w:basedOn w:val="1"/>
    <w:uiPriority w:val="0"/>
    <w:pPr>
      <w:spacing w:before="120" w:after="120"/>
    </w:pPr>
  </w:style>
  <w:style w:type="paragraph" w:customStyle="1" w:styleId="138">
    <w:name w:val="GroupAuthor"/>
    <w:basedOn w:val="101"/>
    <w:uiPriority w:val="0"/>
    <w:rPr>
      <w:b/>
      <w:i/>
    </w:rPr>
  </w:style>
  <w:style w:type="paragraph" w:customStyle="1" w:styleId="139">
    <w:name w:val="Position"/>
    <w:basedOn w:val="1"/>
    <w:next w:val="1"/>
    <w:uiPriority w:val="0"/>
    <w:pPr>
      <w:spacing w:line="240" w:lineRule="auto"/>
    </w:pPr>
    <w:rPr>
      <w:i/>
    </w:rPr>
  </w:style>
  <w:style w:type="paragraph" w:customStyle="1" w:styleId="140">
    <w:name w:val="ProductAuth"/>
    <w:basedOn w:val="100"/>
    <w:uiPriority w:val="0"/>
  </w:style>
  <w:style w:type="paragraph" w:customStyle="1" w:styleId="141">
    <w:name w:val="ProductDetails"/>
    <w:basedOn w:val="112"/>
    <w:uiPriority w:val="0"/>
  </w:style>
  <w:style w:type="paragraph" w:customStyle="1" w:styleId="142">
    <w:name w:val="QuoteRef"/>
    <w:basedOn w:val="1"/>
    <w:uiPriority w:val="0"/>
    <w:pPr>
      <w:spacing w:after="60"/>
    </w:pPr>
  </w:style>
  <w:style w:type="paragraph" w:customStyle="1" w:styleId="143">
    <w:name w:val="Rating"/>
    <w:basedOn w:val="112"/>
    <w:uiPriority w:val="0"/>
    <w:pPr>
      <w:ind w:firstLine="0"/>
    </w:pPr>
  </w:style>
  <w:style w:type="paragraph" w:customStyle="1" w:styleId="144">
    <w:name w:val="Reference"/>
    <w:basedOn w:val="1"/>
    <w:uiPriority w:val="0"/>
    <w:pPr>
      <w:numPr>
        <w:ilvl w:val="0"/>
        <w:numId w:val="13"/>
      </w:numPr>
      <w:spacing w:before="40" w:line="360" w:lineRule="auto"/>
      <w:ind w:left="461" w:hanging="173"/>
    </w:pPr>
  </w:style>
  <w:style w:type="paragraph" w:customStyle="1" w:styleId="145">
    <w:name w:val="RelatedTo"/>
    <w:basedOn w:val="1"/>
    <w:uiPriority w:val="0"/>
  </w:style>
  <w:style w:type="paragraph" w:customStyle="1" w:styleId="146">
    <w:name w:val="RelatedToWeb"/>
    <w:basedOn w:val="1"/>
    <w:qFormat/>
    <w:uiPriority w:val="0"/>
  </w:style>
  <w:style w:type="paragraph" w:customStyle="1" w:styleId="147">
    <w:name w:val="Reviewed"/>
    <w:basedOn w:val="134"/>
    <w:qFormat/>
    <w:uiPriority w:val="0"/>
  </w:style>
  <w:style w:type="paragraph" w:customStyle="1" w:styleId="148">
    <w:name w:val="ShortAuthor"/>
    <w:basedOn w:val="1"/>
    <w:qFormat/>
    <w:uiPriority w:val="0"/>
    <w:rPr>
      <w:i/>
    </w:rPr>
  </w:style>
  <w:style w:type="paragraph" w:customStyle="1" w:styleId="149">
    <w:name w:val="ShortTitle"/>
    <w:basedOn w:val="1"/>
    <w:uiPriority w:val="0"/>
    <w:rPr>
      <w:rFonts w:ascii="Arial" w:hAnsi="Arial"/>
      <w:i/>
      <w:sz w:val="20"/>
    </w:rPr>
  </w:style>
  <w:style w:type="paragraph" w:customStyle="1" w:styleId="150">
    <w:name w:val="SourceRef"/>
    <w:basedOn w:val="112"/>
    <w:uiPriority w:val="0"/>
    <w:pPr>
      <w:ind w:firstLine="0"/>
    </w:pPr>
  </w:style>
  <w:style w:type="paragraph" w:customStyle="1" w:styleId="151">
    <w:name w:val="Standfirst"/>
    <w:basedOn w:val="98"/>
    <w:uiPriority w:val="0"/>
  </w:style>
  <w:style w:type="paragraph" w:customStyle="1" w:styleId="152">
    <w:name w:val="Subtitle1"/>
    <w:basedOn w:val="55"/>
    <w:qFormat/>
    <w:uiPriority w:val="0"/>
  </w:style>
  <w:style w:type="paragraph" w:customStyle="1" w:styleId="153">
    <w:name w:val="Table"/>
    <w:basedOn w:val="1"/>
    <w:uiPriority w:val="0"/>
    <w:pPr>
      <w:numPr>
        <w:ilvl w:val="0"/>
        <w:numId w:val="14"/>
      </w:numPr>
      <w:tabs>
        <w:tab w:val="left" w:pos="1021"/>
        <w:tab w:val="clear" w:pos="1440"/>
      </w:tabs>
    </w:pPr>
    <w:rPr>
      <w:i/>
    </w:rPr>
  </w:style>
  <w:style w:type="paragraph" w:customStyle="1" w:styleId="154">
    <w:name w:val="TableNote"/>
    <w:basedOn w:val="1"/>
    <w:qFormat/>
    <w:uiPriority w:val="0"/>
  </w:style>
  <w:style w:type="character" w:customStyle="1" w:styleId="155">
    <w:name w:val="TableRef"/>
    <w:basedOn w:val="76"/>
    <w:uiPriority w:val="0"/>
    <w:rPr>
      <w:color w:val="0000FF"/>
      <w:vertAlign w:val="superscript"/>
    </w:rPr>
  </w:style>
  <w:style w:type="paragraph" w:customStyle="1" w:styleId="156">
    <w:name w:val="TableTitle"/>
    <w:basedOn w:val="1"/>
    <w:qFormat/>
    <w:uiPriority w:val="0"/>
  </w:style>
  <w:style w:type="paragraph" w:customStyle="1" w:styleId="157">
    <w:name w:val="Topic"/>
    <w:basedOn w:val="1"/>
    <w:qFormat/>
    <w:uiPriority w:val="0"/>
    <w:pPr>
      <w:spacing w:before="40" w:line="260" w:lineRule="exact"/>
    </w:pPr>
    <w:rPr>
      <w:i/>
      <w:color w:val="0000FF"/>
    </w:rPr>
  </w:style>
  <w:style w:type="character" w:customStyle="1" w:styleId="158">
    <w:name w:val="URL"/>
    <w:basedOn w:val="76"/>
    <w:uiPriority w:val="0"/>
    <w:rPr>
      <w:color w:val="666699"/>
    </w:rPr>
  </w:style>
  <w:style w:type="paragraph" w:customStyle="1" w:styleId="159">
    <w:name w:val="WebRef"/>
    <w:basedOn w:val="1"/>
    <w:uiPriority w:val="0"/>
    <w:pPr>
      <w:numPr>
        <w:ilvl w:val="0"/>
        <w:numId w:val="15"/>
      </w:numPr>
      <w:tabs>
        <w:tab w:val="left" w:pos="720"/>
        <w:tab w:val="clear" w:pos="1800"/>
      </w:tabs>
      <w:ind w:left="360"/>
    </w:pPr>
  </w:style>
  <w:style w:type="character" w:customStyle="1" w:styleId="160">
    <w:name w:val="XRef"/>
    <w:basedOn w:val="76"/>
    <w:uiPriority w:val="0"/>
    <w:rPr>
      <w:color w:val="0000FF"/>
      <w:vertAlign w:val="superscript"/>
    </w:rPr>
  </w:style>
  <w:style w:type="character" w:customStyle="1" w:styleId="161">
    <w:name w:val="wXRef"/>
    <w:basedOn w:val="160"/>
    <w:qFormat/>
    <w:uiPriority w:val="0"/>
    <w:rPr>
      <w:color w:val="0000FF"/>
      <w:vertAlign w:val="superscript"/>
    </w:rPr>
  </w:style>
  <w:style w:type="character" w:customStyle="1" w:styleId="162">
    <w:name w:val="email"/>
    <w:basedOn w:val="158"/>
    <w:qFormat/>
    <w:uiPriority w:val="0"/>
    <w:rPr>
      <w:color w:val="666699"/>
    </w:rPr>
  </w:style>
  <w:style w:type="paragraph" w:customStyle="1" w:styleId="163">
    <w:name w:val="BoxStartx"/>
    <w:basedOn w:val="105"/>
    <w:qFormat/>
    <w:uiPriority w:val="0"/>
  </w:style>
  <w:style w:type="character" w:customStyle="1" w:styleId="164">
    <w:name w:val="ParaHead"/>
    <w:basedOn w:val="76"/>
    <w:qFormat/>
    <w:uiPriority w:val="0"/>
    <w:rPr>
      <w:color w:val="999999"/>
      <w:shd w:val="clear" w:color="auto" w:fill="auto"/>
    </w:rPr>
  </w:style>
  <w:style w:type="paragraph" w:customStyle="1" w:styleId="165">
    <w:name w:val="ObitBiog"/>
    <w:basedOn w:val="112"/>
    <w:qFormat/>
    <w:uiPriority w:val="0"/>
    <w:pPr>
      <w:spacing w:before="120" w:line="260" w:lineRule="exact"/>
      <w:ind w:firstLine="0"/>
    </w:pPr>
    <w:rPr>
      <w:b/>
      <w:i/>
      <w:sz w:val="22"/>
    </w:rPr>
  </w:style>
  <w:style w:type="paragraph" w:customStyle="1" w:styleId="166">
    <w:name w:val="TableHeader"/>
    <w:basedOn w:val="112"/>
    <w:qFormat/>
    <w:uiPriority w:val="0"/>
    <w:pPr>
      <w:spacing w:before="120" w:line="240" w:lineRule="auto"/>
      <w:ind w:firstLine="0"/>
    </w:pPr>
    <w:rPr>
      <w:b/>
    </w:rPr>
  </w:style>
  <w:style w:type="character" w:customStyle="1" w:styleId="167">
    <w:name w:val="Image"/>
    <w:basedOn w:val="133"/>
    <w:qFormat/>
    <w:uiPriority w:val="0"/>
    <w:rPr>
      <w:b/>
      <w:color w:val="00FF00"/>
    </w:rPr>
  </w:style>
  <w:style w:type="paragraph" w:customStyle="1" w:styleId="168">
    <w:name w:val="TableSubHead"/>
    <w:basedOn w:val="166"/>
    <w:qFormat/>
    <w:uiPriority w:val="0"/>
  </w:style>
  <w:style w:type="paragraph" w:customStyle="1" w:styleId="169">
    <w:name w:val="ArtGroup"/>
    <w:basedOn w:val="111"/>
    <w:qFormat/>
    <w:uiPriority w:val="0"/>
    <w:rPr>
      <w:sz w:val="22"/>
    </w:rPr>
  </w:style>
  <w:style w:type="paragraph" w:customStyle="1" w:styleId="170">
    <w:name w:val="Biog"/>
    <w:basedOn w:val="94"/>
    <w:qFormat/>
    <w:uiPriority w:val="0"/>
  </w:style>
  <w:style w:type="paragraph" w:customStyle="1" w:styleId="171">
    <w:name w:val="SearchInfo"/>
    <w:basedOn w:val="1"/>
    <w:qFormat/>
    <w:uiPriority w:val="0"/>
    <w:pPr>
      <w:spacing w:before="120" w:line="240" w:lineRule="exact"/>
    </w:pPr>
  </w:style>
  <w:style w:type="paragraph" w:customStyle="1" w:styleId="172">
    <w:name w:val="SeriesInfo"/>
    <w:basedOn w:val="1"/>
    <w:qFormat/>
    <w:uiPriority w:val="0"/>
    <w:pPr>
      <w:spacing w:before="120" w:line="240" w:lineRule="exact"/>
    </w:pPr>
  </w:style>
  <w:style w:type="paragraph" w:customStyle="1" w:styleId="173">
    <w:name w:val="Remark"/>
    <w:basedOn w:val="1"/>
    <w:qFormat/>
    <w:uiPriority w:val="0"/>
    <w:rPr>
      <w:color w:val="FF0000"/>
    </w:rPr>
  </w:style>
  <w:style w:type="paragraph" w:customStyle="1" w:styleId="174">
    <w:name w:val="BoxStart4"/>
    <w:basedOn w:val="107"/>
    <w:qFormat/>
    <w:uiPriority w:val="0"/>
  </w:style>
  <w:style w:type="paragraph" w:customStyle="1" w:styleId="175">
    <w:name w:val="Bibliography"/>
    <w:basedOn w:val="144"/>
    <w:qFormat/>
    <w:uiPriority w:val="0"/>
    <w:pPr>
      <w:numPr>
        <w:ilvl w:val="0"/>
        <w:numId w:val="0"/>
      </w:numPr>
    </w:pPr>
  </w:style>
  <w:style w:type="paragraph" w:customStyle="1" w:styleId="176">
    <w:name w:val="PullQuote"/>
    <w:basedOn w:val="114"/>
    <w:qFormat/>
    <w:uiPriority w:val="0"/>
  </w:style>
  <w:style w:type="paragraph" w:customStyle="1" w:styleId="177">
    <w:name w:val="AncillHead"/>
    <w:basedOn w:val="125"/>
    <w:qFormat/>
    <w:uiPriority w:val="0"/>
  </w:style>
  <w:style w:type="paragraph" w:customStyle="1" w:styleId="178">
    <w:name w:val="RefHead"/>
    <w:basedOn w:val="125"/>
    <w:qFormat/>
    <w:uiPriority w:val="0"/>
  </w:style>
  <w:style w:type="paragraph" w:customStyle="1" w:styleId="179">
    <w:name w:val="FlushQuote"/>
    <w:basedOn w:val="114"/>
    <w:qFormat/>
    <w:uiPriority w:val="0"/>
    <w:pPr>
      <w:ind w:left="0" w:right="0"/>
    </w:pPr>
    <w:rPr>
      <w:sz w:val="22"/>
    </w:rPr>
  </w:style>
  <w:style w:type="paragraph" w:customStyle="1" w:styleId="180">
    <w:name w:val="ProductTitle"/>
    <w:basedOn w:val="1"/>
    <w:next w:val="140"/>
    <w:qFormat/>
    <w:uiPriority w:val="0"/>
    <w:rPr>
      <w:b/>
      <w:sz w:val="28"/>
    </w:rPr>
  </w:style>
  <w:style w:type="paragraph" w:customStyle="1" w:styleId="181">
    <w:name w:val="EthicalApproval"/>
    <w:basedOn w:val="137"/>
    <w:qFormat/>
    <w:uiPriority w:val="0"/>
  </w:style>
  <w:style w:type="paragraph" w:customStyle="1" w:styleId="182">
    <w:name w:val="Abrv-Title"/>
    <w:basedOn w:val="1"/>
    <w:autoRedefine/>
    <w:qFormat/>
    <w:uiPriority w:val="0"/>
  </w:style>
  <w:style w:type="paragraph" w:customStyle="1" w:styleId="183">
    <w:name w:val="Web logo"/>
    <w:basedOn w:val="1"/>
    <w:qFormat/>
    <w:uiPriority w:val="0"/>
  </w:style>
  <w:style w:type="character" w:customStyle="1" w:styleId="184">
    <w:name w:val="Preformatted"/>
    <w:basedOn w:val="76"/>
    <w:qFormat/>
    <w:uiPriority w:val="0"/>
  </w:style>
  <w:style w:type="paragraph" w:customStyle="1" w:styleId="185">
    <w:name w:val="Auxillary Number"/>
    <w:basedOn w:val="1"/>
    <w:autoRedefine/>
    <w:qFormat/>
    <w:uiPriority w:val="0"/>
  </w:style>
  <w:style w:type="paragraph" w:customStyle="1" w:styleId="186">
    <w:name w:val="DOI"/>
    <w:basedOn w:val="1"/>
    <w:autoRedefine/>
    <w:qFormat/>
    <w:uiPriority w:val="0"/>
  </w:style>
  <w:style w:type="paragraph" w:customStyle="1" w:styleId="187">
    <w:name w:val="Unit-ID"/>
    <w:basedOn w:val="1"/>
    <w:autoRedefine/>
    <w:qFormat/>
    <w:uiPriority w:val="0"/>
  </w:style>
  <w:style w:type="paragraph" w:customStyle="1" w:styleId="188">
    <w:name w:val="Abbreviation"/>
    <w:basedOn w:val="1"/>
    <w:qFormat/>
    <w:uiPriority w:val="0"/>
  </w:style>
  <w:style w:type="paragraph" w:customStyle="1" w:styleId="189">
    <w:name w:val="Appendix"/>
    <w:basedOn w:val="1"/>
    <w:qFormat/>
    <w:uiPriority w:val="0"/>
    <w:rPr>
      <w:b/>
    </w:rPr>
  </w:style>
  <w:style w:type="paragraph" w:customStyle="1" w:styleId="190">
    <w:name w:val="Authored by"/>
    <w:basedOn w:val="1"/>
    <w:qFormat/>
    <w:uiPriority w:val="0"/>
    <w:rPr>
      <w:b/>
      <w:sz w:val="28"/>
    </w:rPr>
  </w:style>
  <w:style w:type="paragraph" w:customStyle="1" w:styleId="191">
    <w:name w:val="BookDetails"/>
    <w:basedOn w:val="1"/>
    <w:qFormat/>
    <w:uiPriority w:val="0"/>
  </w:style>
  <w:style w:type="paragraph" w:customStyle="1" w:styleId="192">
    <w:name w:val="BoxStart"/>
    <w:basedOn w:val="1"/>
    <w:qFormat/>
    <w:uiPriority w:val="0"/>
  </w:style>
  <w:style w:type="paragraph" w:customStyle="1" w:styleId="193">
    <w:name w:val="Citation"/>
    <w:basedOn w:val="1"/>
    <w:autoRedefine/>
    <w:qFormat/>
    <w:uiPriority w:val="0"/>
  </w:style>
  <w:style w:type="paragraph" w:customStyle="1" w:styleId="194">
    <w:name w:val="Correspondent"/>
    <w:basedOn w:val="1"/>
    <w:autoRedefine/>
    <w:qFormat/>
    <w:uiPriority w:val="0"/>
  </w:style>
  <w:style w:type="paragraph" w:customStyle="1" w:styleId="195">
    <w:name w:val="EquationText"/>
    <w:basedOn w:val="1"/>
    <w:autoRedefine/>
    <w:qFormat/>
    <w:uiPriority w:val="0"/>
  </w:style>
  <w:style w:type="paragraph" w:customStyle="1" w:styleId="196">
    <w:name w:val="Footnotes"/>
    <w:basedOn w:val="1"/>
    <w:qFormat/>
    <w:uiPriority w:val="0"/>
  </w:style>
  <w:style w:type="paragraph" w:customStyle="1" w:styleId="197">
    <w:name w:val="KeyWords"/>
    <w:basedOn w:val="1"/>
    <w:autoRedefine/>
    <w:qFormat/>
    <w:uiPriority w:val="0"/>
  </w:style>
  <w:style w:type="paragraph" w:customStyle="1" w:styleId="198">
    <w:name w:val="ListParaMore"/>
    <w:basedOn w:val="1"/>
    <w:autoRedefine/>
    <w:qFormat/>
    <w:uiPriority w:val="0"/>
  </w:style>
  <w:style w:type="paragraph" w:customStyle="1" w:styleId="199">
    <w:name w:val="Onlinefirst"/>
    <w:basedOn w:val="1"/>
    <w:qFormat/>
    <w:uiPriority w:val="0"/>
  </w:style>
  <w:style w:type="paragraph" w:styleId="200">
    <w:name w:val="Quote"/>
    <w:basedOn w:val="1"/>
    <w:autoRedefine/>
    <w:qFormat/>
    <w:uiPriority w:val="0"/>
    <w:pPr>
      <w:ind w:left="737"/>
    </w:pPr>
    <w:rPr>
      <w:sz w:val="28"/>
    </w:rPr>
  </w:style>
  <w:style w:type="paragraph" w:customStyle="1" w:styleId="201">
    <w:name w:val="Received"/>
    <w:basedOn w:val="1"/>
    <w:autoRedefine/>
    <w:qFormat/>
    <w:uiPriority w:val="0"/>
  </w:style>
  <w:style w:type="paragraph" w:customStyle="1" w:styleId="202">
    <w:name w:val="Related"/>
    <w:basedOn w:val="1"/>
    <w:qFormat/>
    <w:uiPriority w:val="0"/>
    <w:rPr>
      <w:b/>
      <w:i/>
    </w:rPr>
  </w:style>
  <w:style w:type="paragraph" w:customStyle="1" w:styleId="203">
    <w:name w:val="RespTitle"/>
    <w:basedOn w:val="1"/>
    <w:autoRedefine/>
    <w:qFormat/>
    <w:uiPriority w:val="0"/>
    <w:rPr>
      <w:b/>
    </w:rPr>
  </w:style>
  <w:style w:type="paragraph" w:customStyle="1" w:styleId="204">
    <w:name w:val="ShortAuthors"/>
    <w:basedOn w:val="1"/>
    <w:autoRedefine/>
    <w:qFormat/>
    <w:uiPriority w:val="0"/>
  </w:style>
  <w:style w:type="paragraph" w:customStyle="1" w:styleId="205">
    <w:name w:val="Table Footnote"/>
    <w:basedOn w:val="1"/>
    <w:uiPriority w:val="0"/>
    <w:rPr>
      <w:rFonts w:ascii="Arial" w:hAnsi="Arial"/>
      <w:sz w:val="22"/>
    </w:rPr>
  </w:style>
  <w:style w:type="paragraph" w:customStyle="1" w:styleId="206">
    <w:name w:val="Topic(s)"/>
    <w:basedOn w:val="1"/>
    <w:autoRedefine/>
    <w:uiPriority w:val="0"/>
    <w:rPr>
      <w:i/>
    </w:rPr>
  </w:style>
  <w:style w:type="paragraph" w:customStyle="1" w:styleId="207">
    <w:name w:val="Revised"/>
    <w:basedOn w:val="1"/>
    <w:autoRedefine/>
    <w:uiPriority w:val="0"/>
  </w:style>
  <w:style w:type="paragraph" w:customStyle="1" w:styleId="208">
    <w:name w:val="Table Width"/>
    <w:basedOn w:val="1"/>
    <w:uiPriority w:val="0"/>
  </w:style>
  <w:style w:type="paragraph" w:customStyle="1" w:styleId="209">
    <w:name w:val="Table Font"/>
    <w:basedOn w:val="1"/>
    <w:uiPriority w:val="0"/>
  </w:style>
  <w:style w:type="paragraph" w:customStyle="1" w:styleId="210">
    <w:name w:val="Article Title"/>
    <w:basedOn w:val="1"/>
    <w:qFormat/>
    <w:uiPriority w:val="0"/>
    <w:rPr>
      <w:rFonts w:ascii="Arial" w:hAnsi="Arial"/>
      <w:b/>
      <w:sz w:val="36"/>
    </w:rPr>
  </w:style>
  <w:style w:type="paragraph" w:customStyle="1" w:styleId="211">
    <w:name w:val="BNF Number"/>
    <w:basedOn w:val="1"/>
    <w:uiPriority w:val="0"/>
    <w:rPr>
      <w:rFonts w:ascii="Arial" w:hAnsi="Arial"/>
      <w:b/>
      <w:sz w:val="22"/>
    </w:rPr>
  </w:style>
  <w:style w:type="paragraph" w:customStyle="1" w:styleId="212">
    <w:name w:val="Introduction"/>
    <w:basedOn w:val="1"/>
    <w:qFormat/>
    <w:uiPriority w:val="0"/>
    <w:rPr>
      <w:rFonts w:ascii="Arial" w:hAnsi="Arial"/>
      <w:sz w:val="22"/>
    </w:rPr>
  </w:style>
  <w:style w:type="paragraph" w:customStyle="1" w:styleId="213">
    <w:name w:val="Paragraph"/>
    <w:basedOn w:val="1"/>
    <w:qFormat/>
    <w:uiPriority w:val="0"/>
    <w:rPr>
      <w:rFonts w:ascii="Arial" w:hAnsi="Arial"/>
      <w:sz w:val="22"/>
    </w:rPr>
  </w:style>
  <w:style w:type="paragraph" w:customStyle="1" w:styleId="214">
    <w:name w:val="Table Head"/>
    <w:basedOn w:val="1"/>
    <w:qFormat/>
    <w:uiPriority w:val="0"/>
    <w:rPr>
      <w:rFonts w:ascii="Arial" w:hAnsi="Arial"/>
      <w:b/>
      <w:sz w:val="22"/>
    </w:rPr>
  </w:style>
  <w:style w:type="paragraph" w:customStyle="1" w:styleId="215">
    <w:name w:val="Table Body"/>
    <w:basedOn w:val="1"/>
    <w:uiPriority w:val="0"/>
    <w:rPr>
      <w:rFonts w:ascii="Arial" w:hAnsi="Arial"/>
      <w:sz w:val="22"/>
    </w:rPr>
  </w:style>
  <w:style w:type="paragraph" w:customStyle="1" w:styleId="216">
    <w:name w:val="Figure Caption"/>
    <w:basedOn w:val="1"/>
    <w:qFormat/>
    <w:uiPriority w:val="0"/>
    <w:rPr>
      <w:rFonts w:ascii="Arial" w:hAnsi="Arial"/>
      <w:sz w:val="22"/>
    </w:rPr>
  </w:style>
  <w:style w:type="paragraph" w:customStyle="1" w:styleId="217">
    <w:name w:val="References"/>
    <w:basedOn w:val="1"/>
    <w:qFormat/>
    <w:uiPriority w:val="0"/>
    <w:rPr>
      <w:rFonts w:ascii="Arial" w:hAnsi="Arial"/>
      <w:sz w:val="20"/>
    </w:rPr>
  </w:style>
  <w:style w:type="character" w:customStyle="1" w:styleId="218">
    <w:name w:val="Header Char"/>
    <w:basedOn w:val="76"/>
    <w:link w:val="51"/>
    <w:uiPriority w:val="99"/>
    <w:rPr>
      <w:sz w:val="18"/>
      <w:lang w:val="en-GB" w:eastAsia="en-US"/>
    </w:rPr>
  </w:style>
  <w:style w:type="paragraph" w:styleId="21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Company>irisq</Company>
  <Pages>8</Pages>
  <Words>310</Words>
  <Characters>1841</Characters>
  <Lines>35</Lines>
  <Paragraphs>10</Paragraphs>
  <TotalTime>1</TotalTime>
  <ScaleCrop>false</ScaleCrop>
  <LinksUpToDate>false</LinksUpToDate>
  <CharactersWithSpaces>2104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2021-08-17T18:47:00Z</dcterms:created>
  <dc:creator>pplouffe</dc:creator>
  <cp:lastModifiedBy>CY. L.</cp:lastModifiedBy>
  <cp:lastPrinted>2014-09-01T08:36:00Z</cp:lastPrinted>
  <dcterms:modified xsi:type="dcterms:W3CDTF">2026-04-29T07:20:03Z</dcterms:modified>
  <dc:title>The Impact of a Community-Oriented Problem-Based Learning Curriculum Reform on the Quality of Primary Care Delivered by Gradua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512315745</vt:i4>
  </property>
  <property fmtid="{D5CDD505-2E9C-101B-9397-08002B2CF9AE}" pid="3" name="_EmailSubject">
    <vt:lpwstr>Message from BMJ</vt:lpwstr>
  </property>
  <property fmtid="{D5CDD505-2E9C-101B-9397-08002B2CF9AE}" pid="4" name="_AuthorEmail">
    <vt:lpwstr>robyn.tamblyn@mcgill.ca</vt:lpwstr>
  </property>
  <property fmtid="{D5CDD505-2E9C-101B-9397-08002B2CF9AE}" pid="5" name="_AuthorEmailDisplayName">
    <vt:lpwstr>Dr.Robyn Tamblyn</vt:lpwstr>
  </property>
  <property fmtid="{D5CDD505-2E9C-101B-9397-08002B2CF9AE}" pid="6" name="_ReviewingToolsShownOnce">
    <vt:lpwstr/>
  </property>
  <property fmtid="{D5CDD505-2E9C-101B-9397-08002B2CF9AE}" pid="7" name="KSOTemplateDocerSaveRecord">
    <vt:lpwstr>eyJoZGlkIjoiN2JmNGQzYWFlNjk3MzI3NDIzZmU3ZmNlY2YwNWNkZGMiLCJ1c2VySWQiOiI2NTg0ODI0NDIifQ==</vt:lpwstr>
  </property>
  <property fmtid="{D5CDD505-2E9C-101B-9397-08002B2CF9AE}" pid="8" name="KSOProductBuildVer">
    <vt:lpwstr>2052-12.1.0.24034</vt:lpwstr>
  </property>
  <property fmtid="{D5CDD505-2E9C-101B-9397-08002B2CF9AE}" pid="9" name="ICV">
    <vt:lpwstr>11D61BC1198543E1AC2431BD444ABAA0_12</vt:lpwstr>
  </property>
</Properties>
</file>